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74AC1" w14:textId="2758526C" w:rsidR="00511E1F" w:rsidRPr="00962C33" w:rsidRDefault="00962C33" w:rsidP="00962C33">
      <w:pPr>
        <w:jc w:val="center"/>
        <w:rPr>
          <w:rFonts w:ascii="Tahoma" w:hAnsi="Tahoma" w:cs="Tahoma"/>
          <w:b/>
          <w:bCs/>
          <w:sz w:val="32"/>
          <w:szCs w:val="32"/>
          <w:lang w:val="en"/>
        </w:rPr>
      </w:pPr>
      <w:r w:rsidRPr="00962C33">
        <w:rPr>
          <w:rFonts w:ascii="Tahoma" w:hAnsi="Tahoma" w:cs="Tahoma"/>
          <w:b/>
          <w:bCs/>
          <w:sz w:val="32"/>
          <w:szCs w:val="32"/>
          <w:lang w:val="en"/>
        </w:rPr>
        <w:t>SHARIA BANKING AND SUSTAINABLE DEVELOPMENT: A SHARIA-BASED STRATEGIC FRAMEWORK</w:t>
      </w:r>
    </w:p>
    <w:p w14:paraId="765BF6EE" w14:textId="77777777" w:rsidR="00A74921" w:rsidRDefault="00A74921" w:rsidP="00511E1F">
      <w:pPr>
        <w:jc w:val="center"/>
        <w:rPr>
          <w:rFonts w:ascii="Tahoma" w:hAnsi="Tahoma" w:cs="Tahoma"/>
          <w:b/>
          <w:bCs/>
          <w:sz w:val="32"/>
          <w:szCs w:val="32"/>
        </w:rPr>
      </w:pPr>
    </w:p>
    <w:p w14:paraId="1D8CF441" w14:textId="71D9532E" w:rsidR="00962C33" w:rsidRPr="00962C33" w:rsidRDefault="00962C33" w:rsidP="00962C33">
      <w:pPr>
        <w:jc w:val="center"/>
        <w:rPr>
          <w:rFonts w:ascii="Tahoma" w:hAnsi="Tahoma" w:cs="Tahoma"/>
          <w:b/>
          <w:bCs/>
          <w:sz w:val="20"/>
        </w:rPr>
      </w:pPr>
      <w:r w:rsidRPr="00962C33">
        <w:rPr>
          <w:rFonts w:ascii="Tahoma" w:hAnsi="Tahoma" w:cs="Tahoma"/>
          <w:b/>
          <w:bCs/>
          <w:sz w:val="20"/>
        </w:rPr>
        <w:t>Dwi Santosa Pambudi</w:t>
      </w:r>
      <w:r w:rsidR="00D277C2" w:rsidRPr="00D277C2">
        <w:rPr>
          <w:rFonts w:ascii="Tahoma" w:hAnsi="Tahoma" w:cs="Tahoma"/>
          <w:b/>
          <w:bCs/>
          <w:sz w:val="20"/>
          <w:vertAlign w:val="superscript"/>
        </w:rPr>
        <w:t>1</w:t>
      </w:r>
      <w:r w:rsidR="00D277C2">
        <w:rPr>
          <w:rFonts w:ascii="Tahoma" w:hAnsi="Tahoma" w:cs="Tahoma"/>
          <w:b/>
          <w:bCs/>
          <w:sz w:val="20"/>
          <w:vertAlign w:val="superscript"/>
        </w:rPr>
        <w:t>*</w:t>
      </w:r>
      <w:r w:rsidRPr="00962C33">
        <w:rPr>
          <w:rFonts w:ascii="Tahoma" w:hAnsi="Tahoma" w:cs="Tahoma"/>
          <w:b/>
          <w:bCs/>
          <w:sz w:val="20"/>
        </w:rPr>
        <w:t>, Nor Hakimah binti Haji Mohd Nor</w:t>
      </w:r>
      <w:r w:rsidR="00D277C2" w:rsidRPr="00D277C2">
        <w:rPr>
          <w:rFonts w:ascii="Tahoma" w:hAnsi="Tahoma" w:cs="Tahoma"/>
          <w:b/>
          <w:bCs/>
          <w:sz w:val="20"/>
          <w:vertAlign w:val="superscript"/>
        </w:rPr>
        <w:t>2</w:t>
      </w:r>
      <w:r w:rsidRPr="00962C33">
        <w:rPr>
          <w:rFonts w:ascii="Tahoma" w:hAnsi="Tahoma" w:cs="Tahoma"/>
          <w:b/>
          <w:bCs/>
          <w:sz w:val="20"/>
        </w:rPr>
        <w:t xml:space="preserve">, </w:t>
      </w:r>
    </w:p>
    <w:p w14:paraId="4383189C" w14:textId="28617F60" w:rsidR="00962C33" w:rsidRDefault="00962C33" w:rsidP="00962C33">
      <w:pPr>
        <w:jc w:val="center"/>
        <w:rPr>
          <w:rFonts w:ascii="Tahoma" w:hAnsi="Tahoma" w:cs="Tahoma"/>
          <w:b/>
          <w:bCs/>
          <w:sz w:val="20"/>
          <w:vertAlign w:val="superscript"/>
        </w:rPr>
      </w:pPr>
      <w:r w:rsidRPr="00962C33">
        <w:rPr>
          <w:rFonts w:ascii="Tahoma" w:hAnsi="Tahoma" w:cs="Tahoma"/>
          <w:b/>
          <w:bCs/>
          <w:sz w:val="20"/>
        </w:rPr>
        <w:t>Noor Aimi binti Mohamad Puad</w:t>
      </w:r>
      <w:r w:rsidR="00D277C2" w:rsidRPr="00D277C2">
        <w:rPr>
          <w:rFonts w:ascii="Tahoma" w:hAnsi="Tahoma" w:cs="Tahoma"/>
          <w:b/>
          <w:bCs/>
          <w:sz w:val="20"/>
          <w:vertAlign w:val="superscript"/>
        </w:rPr>
        <w:t>3</w:t>
      </w:r>
      <w:r w:rsidRPr="00962C33">
        <w:rPr>
          <w:rFonts w:ascii="Tahoma" w:hAnsi="Tahoma" w:cs="Tahoma"/>
          <w:b/>
          <w:bCs/>
          <w:sz w:val="20"/>
        </w:rPr>
        <w:t>, Khairul Anuar bin Ahmad</w:t>
      </w:r>
      <w:r w:rsidR="00D277C2" w:rsidRPr="00D277C2">
        <w:rPr>
          <w:rFonts w:ascii="Tahoma" w:hAnsi="Tahoma" w:cs="Tahoma"/>
          <w:b/>
          <w:bCs/>
          <w:sz w:val="20"/>
          <w:vertAlign w:val="superscript"/>
        </w:rPr>
        <w:t>4</w:t>
      </w:r>
    </w:p>
    <w:p w14:paraId="488DC778" w14:textId="77777777" w:rsidR="004F002D" w:rsidRPr="00962C33" w:rsidRDefault="004F002D" w:rsidP="00962C33">
      <w:pPr>
        <w:jc w:val="center"/>
        <w:rPr>
          <w:rFonts w:ascii="Tahoma" w:hAnsi="Tahoma" w:cs="Tahoma"/>
          <w:b/>
          <w:bCs/>
          <w:sz w:val="20"/>
        </w:rPr>
      </w:pPr>
    </w:p>
    <w:p w14:paraId="22128CF1" w14:textId="1753FEF4" w:rsidR="00996173" w:rsidRPr="005D7FE9" w:rsidRDefault="00996173" w:rsidP="00511E1F">
      <w:pPr>
        <w:jc w:val="center"/>
        <w:rPr>
          <w:rFonts w:ascii="Tahoma" w:hAnsi="Tahoma" w:cs="Tahoma"/>
          <w:b/>
          <w:bCs/>
          <w:sz w:val="20"/>
          <w:vertAlign w:val="superscript"/>
        </w:rPr>
      </w:pPr>
    </w:p>
    <w:p w14:paraId="2817AA93" w14:textId="63E66816" w:rsidR="005E42DE" w:rsidRDefault="00511E1F" w:rsidP="00786EB1">
      <w:pPr>
        <w:jc w:val="center"/>
        <w:rPr>
          <w:rFonts w:ascii="Tahoma" w:hAnsi="Tahoma" w:cs="Tahoma"/>
          <w:sz w:val="20"/>
          <w:vertAlign w:val="superscript"/>
        </w:rPr>
      </w:pPr>
      <w:r w:rsidRPr="005D7FE9">
        <w:rPr>
          <w:rFonts w:ascii="Tahoma" w:hAnsi="Tahoma" w:cs="Tahoma"/>
          <w:sz w:val="20"/>
          <w:vertAlign w:val="superscript"/>
        </w:rPr>
        <w:t>1</w:t>
      </w:r>
      <w:r w:rsidR="005E42DE" w:rsidRPr="005E42DE">
        <w:rPr>
          <w:rFonts w:ascii="Tahoma" w:hAnsi="Tahoma" w:cs="Tahoma"/>
          <w:sz w:val="20"/>
        </w:rPr>
        <w:t>Faculty of Islamic Studies, Universitas Ahmad Dahlan, Yogyakarta, Indonesia</w:t>
      </w:r>
      <w:r w:rsidR="005E42DE" w:rsidRPr="005E42DE">
        <w:rPr>
          <w:rFonts w:ascii="Tahoma" w:hAnsi="Tahoma" w:cs="Tahoma"/>
          <w:sz w:val="20"/>
          <w:vertAlign w:val="superscript"/>
        </w:rPr>
        <w:t xml:space="preserve"> </w:t>
      </w:r>
    </w:p>
    <w:p w14:paraId="17E97CCA" w14:textId="1934091C" w:rsidR="005E42DE" w:rsidRDefault="005E42DE" w:rsidP="005E42DE">
      <w:pPr>
        <w:jc w:val="center"/>
        <w:rPr>
          <w:rFonts w:ascii="Tahoma" w:hAnsi="Tahoma" w:cs="Tahoma"/>
          <w:sz w:val="20"/>
          <w:lang w:val="en"/>
        </w:rPr>
      </w:pPr>
      <w:r w:rsidRPr="005E42DE">
        <w:rPr>
          <w:rFonts w:ascii="Tahoma" w:hAnsi="Tahoma" w:cs="Tahoma"/>
          <w:sz w:val="20"/>
          <w:vertAlign w:val="superscript"/>
          <w:lang w:val="en"/>
        </w:rPr>
        <w:t>2</w:t>
      </w:r>
      <w:r w:rsidRPr="005E42DE">
        <w:rPr>
          <w:rFonts w:ascii="Tahoma" w:hAnsi="Tahoma" w:cs="Tahoma"/>
          <w:sz w:val="20"/>
          <w:lang w:val="en"/>
        </w:rPr>
        <w:t xml:space="preserve">Faculty of Economics, Accounting and Management, </w:t>
      </w:r>
      <w:proofErr w:type="spellStart"/>
      <w:r w:rsidRPr="005E42DE">
        <w:rPr>
          <w:rFonts w:ascii="Tahoma" w:hAnsi="Tahoma" w:cs="Tahoma"/>
          <w:sz w:val="20"/>
          <w:lang w:val="en"/>
        </w:rPr>
        <w:t>Universiti</w:t>
      </w:r>
      <w:proofErr w:type="spellEnd"/>
      <w:r w:rsidRPr="005E42DE">
        <w:rPr>
          <w:rFonts w:ascii="Tahoma" w:hAnsi="Tahoma" w:cs="Tahoma"/>
          <w:sz w:val="20"/>
          <w:lang w:val="en"/>
        </w:rPr>
        <w:t xml:space="preserve"> Islam Selangor, Malaysia</w:t>
      </w:r>
    </w:p>
    <w:p w14:paraId="0666A9DB" w14:textId="126CA4CF" w:rsidR="005E42DE" w:rsidRDefault="005E42DE" w:rsidP="005E42DE">
      <w:pPr>
        <w:jc w:val="center"/>
        <w:rPr>
          <w:rFonts w:ascii="Tahoma" w:hAnsi="Tahoma" w:cs="Tahoma"/>
          <w:sz w:val="20"/>
        </w:rPr>
      </w:pPr>
      <w:r w:rsidRPr="005E42DE">
        <w:rPr>
          <w:rFonts w:ascii="Tahoma" w:hAnsi="Tahoma" w:cs="Tahoma"/>
          <w:sz w:val="20"/>
          <w:vertAlign w:val="superscript"/>
        </w:rPr>
        <w:t>3</w:t>
      </w:r>
      <w:r w:rsidRPr="005E42DE">
        <w:rPr>
          <w:rFonts w:ascii="Tahoma" w:hAnsi="Tahoma" w:cs="Tahoma"/>
          <w:sz w:val="20"/>
        </w:rPr>
        <w:t xml:space="preserve">Kulliyah </w:t>
      </w:r>
      <w:r w:rsidR="004F002D">
        <w:rPr>
          <w:rFonts w:ascii="Tahoma" w:hAnsi="Tahoma" w:cs="Tahoma"/>
          <w:sz w:val="20"/>
        </w:rPr>
        <w:t>o</w:t>
      </w:r>
      <w:r w:rsidRPr="005E42DE">
        <w:rPr>
          <w:rFonts w:ascii="Tahoma" w:hAnsi="Tahoma" w:cs="Tahoma"/>
          <w:sz w:val="20"/>
        </w:rPr>
        <w:t>f Economics and Management Sciences, International Islamic University Malaysia</w:t>
      </w:r>
    </w:p>
    <w:p w14:paraId="18FB8C66" w14:textId="4EFF2F66" w:rsidR="005E42DE" w:rsidRDefault="005E42DE" w:rsidP="00EB58AF">
      <w:pPr>
        <w:jc w:val="center"/>
        <w:rPr>
          <w:rFonts w:ascii="Tahoma" w:hAnsi="Tahoma" w:cs="Tahoma"/>
          <w:sz w:val="20"/>
          <w:lang w:val="en"/>
        </w:rPr>
      </w:pPr>
      <w:r w:rsidRPr="005E42DE">
        <w:rPr>
          <w:rFonts w:ascii="Tahoma" w:hAnsi="Tahoma" w:cs="Tahoma"/>
          <w:sz w:val="20"/>
          <w:vertAlign w:val="superscript"/>
          <w:lang w:val="en"/>
        </w:rPr>
        <w:t>4</w:t>
      </w:r>
      <w:r w:rsidRPr="005E42DE">
        <w:rPr>
          <w:rFonts w:ascii="Tahoma" w:hAnsi="Tahoma" w:cs="Tahoma"/>
          <w:sz w:val="20"/>
          <w:lang w:val="en"/>
        </w:rPr>
        <w:t xml:space="preserve">Faculty of Shariah and Law, </w:t>
      </w:r>
      <w:proofErr w:type="spellStart"/>
      <w:r w:rsidRPr="005E42DE">
        <w:rPr>
          <w:rFonts w:ascii="Tahoma" w:hAnsi="Tahoma" w:cs="Tahoma"/>
          <w:sz w:val="20"/>
          <w:lang w:val="en"/>
        </w:rPr>
        <w:t>Universiti</w:t>
      </w:r>
      <w:proofErr w:type="spellEnd"/>
      <w:r w:rsidRPr="005E42DE">
        <w:rPr>
          <w:rFonts w:ascii="Tahoma" w:hAnsi="Tahoma" w:cs="Tahoma"/>
          <w:sz w:val="20"/>
          <w:lang w:val="en"/>
        </w:rPr>
        <w:t xml:space="preserve"> Islam Selangor, Malaysia</w:t>
      </w:r>
    </w:p>
    <w:p w14:paraId="31C97312" w14:textId="77777777" w:rsidR="004F002D" w:rsidRPr="005E42DE" w:rsidRDefault="004F002D" w:rsidP="00EB58AF">
      <w:pPr>
        <w:jc w:val="center"/>
        <w:rPr>
          <w:rFonts w:ascii="Tahoma" w:hAnsi="Tahoma" w:cs="Tahoma"/>
          <w:sz w:val="20"/>
          <w:lang w:val="en"/>
        </w:rPr>
      </w:pPr>
    </w:p>
    <w:p w14:paraId="07F11AA2" w14:textId="0F1E04E1" w:rsidR="004F002D" w:rsidRPr="004F002D" w:rsidRDefault="00996173" w:rsidP="004F002D">
      <w:pPr>
        <w:shd w:val="clear" w:color="auto" w:fill="FDFDFD"/>
        <w:jc w:val="center"/>
        <w:rPr>
          <w:rFonts w:ascii="Tahoma" w:hAnsi="Tahoma" w:cs="Tahoma"/>
          <w:sz w:val="20"/>
        </w:rPr>
      </w:pPr>
      <w:r w:rsidRPr="005D7FE9">
        <w:rPr>
          <w:rFonts w:ascii="Tahoma" w:hAnsi="Tahoma" w:cs="Tahoma"/>
          <w:sz w:val="20"/>
          <w:vertAlign w:val="superscript"/>
        </w:rPr>
        <w:t>*</w:t>
      </w:r>
      <w:r w:rsidRPr="005D7FE9">
        <w:rPr>
          <w:rFonts w:ascii="Tahoma" w:hAnsi="Tahoma" w:cs="Tahoma"/>
          <w:sz w:val="20"/>
        </w:rPr>
        <w:t>Email:</w:t>
      </w:r>
      <w:r w:rsidR="004F002D">
        <w:rPr>
          <w:rFonts w:ascii="Tahoma" w:hAnsi="Tahoma" w:cs="Tahoma"/>
          <w:sz w:val="20"/>
        </w:rPr>
        <w:t xml:space="preserve"> </w:t>
      </w:r>
      <w:hyperlink r:id="rId8" w:history="1">
        <w:r w:rsidR="004F002D" w:rsidRPr="009619AD">
          <w:rPr>
            <w:rStyle w:val="Hyperlink"/>
            <w:rFonts w:ascii="Tahoma" w:hAnsi="Tahoma" w:cs="Tahoma"/>
            <w:sz w:val="20"/>
          </w:rPr>
          <w:t>dwi.pambudi@pbs.uad.ac.id</w:t>
        </w:r>
      </w:hyperlink>
    </w:p>
    <w:p w14:paraId="3313998A" w14:textId="77777777" w:rsidR="00D43C50" w:rsidRPr="005D7FE9" w:rsidRDefault="00D43C50" w:rsidP="00D43C50">
      <w:pPr>
        <w:pStyle w:val="ArticlehistoryHead"/>
        <w:framePr w:w="8565" w:h="1001" w:hRule="exact" w:wrap="around" w:hAnchor="page" w:x="1959" w:y="358"/>
        <w:rPr>
          <w:rFonts w:ascii="Tahoma" w:hAnsi="Tahoma" w:cs="Tahoma"/>
          <w:sz w:val="22"/>
          <w:szCs w:val="22"/>
        </w:rPr>
      </w:pPr>
      <w:r w:rsidRPr="005D7FE9">
        <w:rPr>
          <w:rFonts w:ascii="Tahoma" w:hAnsi="Tahoma" w:cs="Tahoma"/>
          <w:sz w:val="22"/>
          <w:szCs w:val="22"/>
        </w:rPr>
        <w:t>Article history</w:t>
      </w:r>
    </w:p>
    <w:p w14:paraId="11F619AE" w14:textId="06ACCA9A" w:rsidR="00D43C50" w:rsidRPr="005D7FE9" w:rsidRDefault="00D43C50" w:rsidP="00D43C50">
      <w:pPr>
        <w:pStyle w:val="Articlehistory"/>
        <w:framePr w:w="8565" w:h="1001" w:hRule="exact" w:hSpace="187" w:wrap="around" w:vAnchor="text" w:hAnchor="page" w:x="1959" w:y="358"/>
        <w:spacing w:line="240" w:lineRule="auto"/>
        <w:rPr>
          <w:rFonts w:ascii="Tahoma" w:hAnsi="Tahoma" w:cs="Tahoma"/>
          <w:sz w:val="22"/>
          <w:szCs w:val="22"/>
        </w:rPr>
      </w:pPr>
      <w:r w:rsidRPr="005D7FE9">
        <w:rPr>
          <w:rFonts w:ascii="Tahoma" w:hAnsi="Tahoma" w:cs="Tahoma"/>
          <w:sz w:val="22"/>
          <w:szCs w:val="22"/>
        </w:rPr>
        <w:t xml:space="preserve">Received </w:t>
      </w:r>
      <w:r w:rsidRPr="005D7FE9">
        <w:rPr>
          <w:rFonts w:ascii="Tahoma" w:hAnsi="Tahoma" w:cs="Tahoma"/>
          <w:sz w:val="22"/>
          <w:szCs w:val="22"/>
        </w:rPr>
        <w:tab/>
        <w:t>:</w:t>
      </w:r>
      <w:r>
        <w:rPr>
          <w:rFonts w:ascii="Tahoma" w:hAnsi="Tahoma" w:cs="Tahoma"/>
          <w:sz w:val="22"/>
          <w:szCs w:val="22"/>
        </w:rPr>
        <w:t xml:space="preserve"> </w:t>
      </w:r>
      <w:r w:rsidR="004F002D">
        <w:rPr>
          <w:rFonts w:ascii="Tahoma" w:hAnsi="Tahoma" w:cs="Tahoma"/>
          <w:sz w:val="22"/>
          <w:szCs w:val="22"/>
        </w:rPr>
        <w:t>28 May 2026</w:t>
      </w:r>
    </w:p>
    <w:p w14:paraId="2943D3D2" w14:textId="52239E3F" w:rsidR="00D43C50" w:rsidRPr="005D7FE9" w:rsidRDefault="00D43C50" w:rsidP="00D43C50">
      <w:pPr>
        <w:pStyle w:val="Articlehistory"/>
        <w:framePr w:w="8565" w:h="1001" w:hRule="exact" w:hSpace="187" w:wrap="around" w:vAnchor="text" w:hAnchor="page" w:x="1959" w:y="358"/>
        <w:spacing w:line="240" w:lineRule="auto"/>
        <w:rPr>
          <w:rFonts w:ascii="Tahoma" w:hAnsi="Tahoma" w:cs="Tahoma"/>
          <w:sz w:val="22"/>
          <w:szCs w:val="22"/>
        </w:rPr>
      </w:pPr>
      <w:r w:rsidRPr="005D7FE9">
        <w:rPr>
          <w:rFonts w:ascii="Tahoma" w:hAnsi="Tahoma" w:cs="Tahoma"/>
          <w:sz w:val="22"/>
          <w:szCs w:val="22"/>
        </w:rPr>
        <w:t xml:space="preserve">Revised </w:t>
      </w:r>
      <w:r w:rsidRPr="005D7FE9">
        <w:rPr>
          <w:rFonts w:ascii="Tahoma" w:hAnsi="Tahoma" w:cs="Tahoma"/>
          <w:sz w:val="22"/>
          <w:szCs w:val="22"/>
        </w:rPr>
        <w:tab/>
        <w:t>:</w:t>
      </w:r>
      <w:r>
        <w:rPr>
          <w:rFonts w:ascii="Tahoma" w:hAnsi="Tahoma" w:cs="Tahoma"/>
          <w:sz w:val="22"/>
          <w:szCs w:val="22"/>
        </w:rPr>
        <w:t xml:space="preserve"> </w:t>
      </w:r>
      <w:r w:rsidR="004F002D">
        <w:rPr>
          <w:rFonts w:ascii="Tahoma" w:hAnsi="Tahoma" w:cs="Tahoma"/>
          <w:sz w:val="22"/>
          <w:szCs w:val="22"/>
        </w:rPr>
        <w:t>24 June 2026</w:t>
      </w:r>
    </w:p>
    <w:p w14:paraId="2A21EE31" w14:textId="1FD460D5" w:rsidR="00D43C50" w:rsidRPr="005D7FE9" w:rsidRDefault="00D43C50" w:rsidP="00D43C50">
      <w:pPr>
        <w:pStyle w:val="Articlehistory"/>
        <w:framePr w:w="8565" w:h="1001" w:hRule="exact" w:hSpace="187" w:wrap="around" w:vAnchor="text" w:hAnchor="page" w:x="1959" w:y="358"/>
        <w:spacing w:line="240" w:lineRule="auto"/>
        <w:rPr>
          <w:rFonts w:ascii="Tahoma" w:hAnsi="Tahoma" w:cs="Tahoma"/>
          <w:sz w:val="22"/>
          <w:szCs w:val="22"/>
        </w:rPr>
      </w:pPr>
      <w:r w:rsidRPr="005D7FE9">
        <w:rPr>
          <w:rFonts w:ascii="Tahoma" w:hAnsi="Tahoma" w:cs="Tahoma"/>
          <w:sz w:val="22"/>
          <w:szCs w:val="22"/>
        </w:rPr>
        <w:t>Accepted</w:t>
      </w:r>
      <w:r w:rsidRPr="005D7FE9">
        <w:rPr>
          <w:rFonts w:ascii="Tahoma" w:hAnsi="Tahoma" w:cs="Tahoma"/>
          <w:sz w:val="22"/>
          <w:szCs w:val="22"/>
        </w:rPr>
        <w:tab/>
        <w:t xml:space="preserve">: </w:t>
      </w:r>
      <w:r w:rsidR="004F002D">
        <w:rPr>
          <w:rFonts w:ascii="Tahoma" w:hAnsi="Tahoma" w:cs="Tahoma"/>
          <w:sz w:val="22"/>
          <w:szCs w:val="22"/>
        </w:rPr>
        <w:t>30 June 2026</w:t>
      </w:r>
    </w:p>
    <w:p w14:paraId="16E11C17" w14:textId="4524933A" w:rsidR="004E0BA7" w:rsidRPr="005D7FE9" w:rsidRDefault="004E0BA7" w:rsidP="004E0BA7">
      <w:pPr>
        <w:pStyle w:val="AbstractAbstrak"/>
        <w:spacing w:before="240"/>
        <w:rPr>
          <w:rFonts w:ascii="Tahoma" w:hAnsi="Tahoma" w:cs="Tahoma"/>
        </w:rPr>
      </w:pPr>
      <w:r w:rsidRPr="005D7FE9">
        <w:rPr>
          <w:rFonts w:ascii="Tahoma" w:hAnsi="Tahoma" w:cs="Tahoma"/>
        </w:rPr>
        <w:t>Abstract</w:t>
      </w:r>
    </w:p>
    <w:p w14:paraId="1381DBEC" w14:textId="48C23880" w:rsidR="00A74921" w:rsidRPr="005D7FE9" w:rsidRDefault="004E0BA7" w:rsidP="00A74921">
      <w:pPr>
        <w:pStyle w:val="Judul"/>
        <w:jc w:val="both"/>
        <w:rPr>
          <w:rFonts w:ascii="Tahoma" w:hAnsi="Tahoma" w:cs="Tahoma"/>
          <w:b w:val="0"/>
          <w:bCs w:val="0"/>
          <w:sz w:val="22"/>
          <w:szCs w:val="22"/>
        </w:rPr>
      </w:pPr>
      <w:r w:rsidRPr="005D7FE9">
        <w:rPr>
          <w:rFonts w:ascii="Tahoma" w:hAnsi="Tahoma" w:cs="Tahoma"/>
          <w:sz w:val="22"/>
          <w:szCs w:val="22"/>
        </w:rPr>
        <w:t>Introduction to The Problem:</w:t>
      </w:r>
      <w:r w:rsidR="000D33B9">
        <w:rPr>
          <w:rFonts w:ascii="Tahoma" w:hAnsi="Tahoma" w:cs="Tahoma"/>
          <w:sz w:val="22"/>
          <w:szCs w:val="22"/>
        </w:rPr>
        <w:t xml:space="preserve"> </w:t>
      </w:r>
      <w:r w:rsidR="00C95E8B" w:rsidRPr="00C95E8B">
        <w:rPr>
          <w:rFonts w:ascii="Tahoma" w:hAnsi="Tahoma" w:cs="Tahoma"/>
          <w:b w:val="0"/>
          <w:bCs w:val="0"/>
          <w:sz w:val="22"/>
          <w:szCs w:val="22"/>
        </w:rPr>
        <w:t xml:space="preserve">Amid growing global momentum toward the Sustainable Development Goals (SDGs), Islamic financial institutions face </w:t>
      </w:r>
      <w:r w:rsidR="004F002D">
        <w:rPr>
          <w:rFonts w:ascii="Tahoma" w:hAnsi="Tahoma" w:cs="Tahoma"/>
          <w:b w:val="0"/>
          <w:bCs w:val="0"/>
          <w:sz w:val="22"/>
          <w:szCs w:val="22"/>
        </w:rPr>
        <w:t>increasing pressure to align their operations with</w:t>
      </w:r>
      <w:r w:rsidR="00C95E8B" w:rsidRPr="00C95E8B">
        <w:rPr>
          <w:rFonts w:ascii="Tahoma" w:hAnsi="Tahoma" w:cs="Tahoma"/>
          <w:b w:val="0"/>
          <w:bCs w:val="0"/>
          <w:sz w:val="22"/>
          <w:szCs w:val="22"/>
        </w:rPr>
        <w:t xml:space="preserve"> Sharia principles and corporate social responsibility frameworks. This alignment is theoretically synchronized; yet, in practice, the operational integration of SDGs and </w:t>
      </w:r>
      <w:proofErr w:type="spellStart"/>
      <w:r w:rsidR="00C95E8B" w:rsidRPr="00C95E8B">
        <w:rPr>
          <w:rFonts w:ascii="Tahoma" w:hAnsi="Tahoma" w:cs="Tahoma"/>
          <w:b w:val="0"/>
          <w:bCs w:val="0"/>
          <w:sz w:val="22"/>
          <w:szCs w:val="22"/>
        </w:rPr>
        <w:t>maqashid</w:t>
      </w:r>
      <w:proofErr w:type="spellEnd"/>
      <w:r w:rsidR="00C95E8B" w:rsidRPr="00C95E8B">
        <w:rPr>
          <w:rFonts w:ascii="Tahoma" w:hAnsi="Tahoma" w:cs="Tahoma"/>
          <w:b w:val="0"/>
          <w:bCs w:val="0"/>
          <w:sz w:val="22"/>
          <w:szCs w:val="22"/>
        </w:rPr>
        <w:t xml:space="preserve"> al-</w:t>
      </w:r>
      <w:proofErr w:type="spellStart"/>
      <w:r w:rsidR="00C95E8B" w:rsidRPr="00C95E8B">
        <w:rPr>
          <w:rFonts w:ascii="Tahoma" w:hAnsi="Tahoma" w:cs="Tahoma"/>
          <w:b w:val="0"/>
          <w:bCs w:val="0"/>
          <w:sz w:val="22"/>
          <w:szCs w:val="22"/>
        </w:rPr>
        <w:t>shari'ah</w:t>
      </w:r>
      <w:proofErr w:type="spellEnd"/>
      <w:r w:rsidR="00C95E8B" w:rsidRPr="00C95E8B">
        <w:rPr>
          <w:rFonts w:ascii="Tahoma" w:hAnsi="Tahoma" w:cs="Tahoma"/>
          <w:b w:val="0"/>
          <w:bCs w:val="0"/>
          <w:sz w:val="22"/>
          <w:szCs w:val="22"/>
        </w:rPr>
        <w:t xml:space="preserve"> (the objectives of Islamic law) within the banking sector remains structurally fragmented. This disconnect is particularly pronounced at the regional level, where localized economic policies often eclipse systemic sustainability mandates</w:t>
      </w:r>
      <w:r w:rsidR="00EE5384">
        <w:rPr>
          <w:rFonts w:ascii="Tahoma" w:hAnsi="Tahoma" w:cs="Tahoma"/>
          <w:b w:val="0"/>
          <w:bCs w:val="0"/>
          <w:sz w:val="22"/>
          <w:szCs w:val="22"/>
        </w:rPr>
        <w:t>.</w:t>
      </w:r>
    </w:p>
    <w:p w14:paraId="61E4CAB2" w14:textId="05F05911" w:rsidR="004E0BA7" w:rsidRPr="005D7FE9" w:rsidRDefault="004E0BA7" w:rsidP="00A74921">
      <w:pPr>
        <w:pStyle w:val="Judul"/>
        <w:jc w:val="both"/>
        <w:rPr>
          <w:rFonts w:ascii="Tahoma" w:hAnsi="Tahoma" w:cs="Tahoma"/>
          <w:b w:val="0"/>
          <w:bCs w:val="0"/>
          <w:sz w:val="22"/>
          <w:szCs w:val="22"/>
        </w:rPr>
      </w:pPr>
      <w:r w:rsidRPr="005D7FE9">
        <w:rPr>
          <w:rFonts w:ascii="Tahoma" w:hAnsi="Tahoma" w:cs="Tahoma"/>
          <w:sz w:val="22"/>
          <w:szCs w:val="22"/>
        </w:rPr>
        <w:t xml:space="preserve">Purpose/Objective Study: </w:t>
      </w:r>
      <w:r w:rsidR="00EE5384" w:rsidRPr="00EE5384">
        <w:rPr>
          <w:rFonts w:ascii="Tahoma" w:hAnsi="Tahoma" w:cs="Tahoma"/>
          <w:b w:val="0"/>
          <w:bCs w:val="0"/>
          <w:sz w:val="22"/>
          <w:szCs w:val="22"/>
        </w:rPr>
        <w:t xml:space="preserve">This study investigates the strategic nexus between Islamic banking operations and the realization of Sustainable Development Goals (SDGs) within the Special Region of Yogyakarta. Specifically, it evaluates the empirical efficacy of these institutions' contributions while critically identifying the systemic challenges that hinder their optimal performance. By addressing these operational bottlenecks, this research ultimately formulates a novel, </w:t>
      </w:r>
      <w:proofErr w:type="spellStart"/>
      <w:r w:rsidR="00EE5384" w:rsidRPr="00EE5384">
        <w:rPr>
          <w:rFonts w:ascii="Tahoma" w:hAnsi="Tahoma" w:cs="Tahoma"/>
          <w:b w:val="0"/>
          <w:bCs w:val="0"/>
          <w:sz w:val="22"/>
          <w:szCs w:val="22"/>
        </w:rPr>
        <w:t>maqashid</w:t>
      </w:r>
      <w:proofErr w:type="spellEnd"/>
      <w:r w:rsidR="00EE5384" w:rsidRPr="00EE5384">
        <w:rPr>
          <w:rFonts w:ascii="Tahoma" w:hAnsi="Tahoma" w:cs="Tahoma"/>
          <w:b w:val="0"/>
          <w:bCs w:val="0"/>
          <w:sz w:val="22"/>
          <w:szCs w:val="22"/>
        </w:rPr>
        <w:t xml:space="preserve">-based strategic framework designed to fortify the sector's long-term role in fostering sustainable </w:t>
      </w:r>
      <w:r w:rsidR="00EE5384">
        <w:rPr>
          <w:rFonts w:ascii="Tahoma" w:hAnsi="Tahoma" w:cs="Tahoma"/>
          <w:b w:val="0"/>
          <w:bCs w:val="0"/>
          <w:sz w:val="22"/>
          <w:szCs w:val="22"/>
        </w:rPr>
        <w:t>development.</w:t>
      </w:r>
    </w:p>
    <w:p w14:paraId="013492A9" w14:textId="11F52DA9" w:rsidR="00705A8D" w:rsidRPr="005D7FE9" w:rsidRDefault="004E0BA7" w:rsidP="00705A8D">
      <w:pPr>
        <w:pStyle w:val="Judul"/>
        <w:jc w:val="both"/>
        <w:rPr>
          <w:rFonts w:ascii="Tahoma" w:hAnsi="Tahoma" w:cs="Tahoma"/>
          <w:b w:val="0"/>
          <w:bCs w:val="0"/>
          <w:sz w:val="22"/>
          <w:szCs w:val="22"/>
        </w:rPr>
      </w:pPr>
      <w:r w:rsidRPr="005D7FE9">
        <w:rPr>
          <w:rFonts w:ascii="Tahoma" w:hAnsi="Tahoma" w:cs="Tahoma"/>
          <w:sz w:val="22"/>
          <w:szCs w:val="22"/>
        </w:rPr>
        <w:t xml:space="preserve">Design/Methodology/Approach: </w:t>
      </w:r>
      <w:r w:rsidR="00E010BA" w:rsidRPr="00E010BA">
        <w:rPr>
          <w:rFonts w:ascii="Tahoma" w:hAnsi="Tahoma" w:cs="Tahoma"/>
          <w:b w:val="0"/>
          <w:bCs w:val="0"/>
          <w:sz w:val="22"/>
          <w:szCs w:val="22"/>
        </w:rPr>
        <w:t xml:space="preserve">Methodologically, this study adopts a qualitative design anchored in a document-based research approach. To ensure data triangulation and analytical depth, empirical materials were systematically harvested from multifaceted institutional outputs, including corporate annual and sustainability reports, regulatory framework papers, and strategic policy documents issued by the Financial Services Authority (OJK) and the National Committee for Islamic Economy and Finance (KNEKS). </w:t>
      </w:r>
      <w:r w:rsidR="004F002D">
        <w:rPr>
          <w:rFonts w:ascii="Tahoma" w:hAnsi="Tahoma" w:cs="Tahoma"/>
          <w:b w:val="0"/>
          <w:bCs w:val="0"/>
          <w:sz w:val="22"/>
          <w:szCs w:val="22"/>
        </w:rPr>
        <w:t>Publications from industry associations and peer-reviewed academic literature further complement this internal corporate data</w:t>
      </w:r>
      <w:r w:rsidR="00E010BA" w:rsidRPr="00E010BA">
        <w:rPr>
          <w:rFonts w:ascii="Tahoma" w:hAnsi="Tahoma" w:cs="Tahoma"/>
          <w:b w:val="0"/>
          <w:bCs w:val="0"/>
          <w:sz w:val="22"/>
          <w:szCs w:val="22"/>
        </w:rPr>
        <w:t xml:space="preserve">. Subsequently, the gathered qualitative </w:t>
      </w:r>
      <w:r w:rsidR="00E010BA" w:rsidRPr="00E010BA">
        <w:rPr>
          <w:rFonts w:ascii="Tahoma" w:hAnsi="Tahoma" w:cs="Tahoma"/>
          <w:b w:val="0"/>
          <w:bCs w:val="0"/>
          <w:sz w:val="22"/>
          <w:szCs w:val="22"/>
        </w:rPr>
        <w:lastRenderedPageBreak/>
        <w:t>data underwent a rigorous thematic content analysis, executed through a structured five-stage process: data familiarization, initial coding, theme development, conceptual review, and contextual interpretation.</w:t>
      </w:r>
    </w:p>
    <w:p w14:paraId="36CE897E" w14:textId="7ADAFE3A" w:rsidR="00C4794B" w:rsidRPr="005D7FE9" w:rsidRDefault="004E0BA7" w:rsidP="008D6F75">
      <w:pPr>
        <w:pStyle w:val="Judul"/>
        <w:jc w:val="both"/>
        <w:rPr>
          <w:rFonts w:ascii="Tahoma" w:hAnsi="Tahoma" w:cs="Tahoma"/>
          <w:b w:val="0"/>
          <w:bCs w:val="0"/>
          <w:sz w:val="22"/>
          <w:szCs w:val="22"/>
        </w:rPr>
      </w:pPr>
      <w:r w:rsidRPr="005D7FE9">
        <w:rPr>
          <w:rFonts w:ascii="Tahoma" w:hAnsi="Tahoma" w:cs="Tahoma"/>
          <w:sz w:val="22"/>
          <w:szCs w:val="22"/>
        </w:rPr>
        <w:t xml:space="preserve">Findings: </w:t>
      </w:r>
      <w:r w:rsidR="008D6F75" w:rsidRPr="008D6F75">
        <w:rPr>
          <w:rFonts w:ascii="Tahoma" w:hAnsi="Tahoma" w:cs="Tahoma"/>
          <w:b w:val="0"/>
          <w:bCs w:val="0"/>
          <w:sz w:val="22"/>
          <w:szCs w:val="22"/>
        </w:rPr>
        <w:t xml:space="preserve">Empirical findings demonstrate that Islamic banking actively drives SDG acceleration through a multifaceted approach: scaling productive financing, expanding financial inclusion, bolstering Micro, Small, and Medium Enterprises (MSMEs), and mobilizing Islamic social finance instruments. Although these channels yield measurable benefits for poverty alleviation, inclusive economic growth, and social welfare, several operational bottlenecks persist. Specifically, the overall developmental efficacy is hindered by the superficial integration of sustainability indicators into institutional performance matrices, weak social impact assessment tools, and fragmented stakeholder cooperation. To resolve these issues, this study introduces a </w:t>
      </w:r>
      <w:proofErr w:type="spellStart"/>
      <w:r w:rsidR="008D6F75" w:rsidRPr="008D6F75">
        <w:rPr>
          <w:rFonts w:ascii="Tahoma" w:hAnsi="Tahoma" w:cs="Tahoma"/>
          <w:b w:val="0"/>
          <w:bCs w:val="0"/>
          <w:sz w:val="22"/>
          <w:szCs w:val="22"/>
        </w:rPr>
        <w:t>maqashid</w:t>
      </w:r>
      <w:proofErr w:type="spellEnd"/>
      <w:r w:rsidR="008D6F75" w:rsidRPr="008D6F75">
        <w:rPr>
          <w:rFonts w:ascii="Tahoma" w:hAnsi="Tahoma" w:cs="Tahoma"/>
          <w:b w:val="0"/>
          <w:bCs w:val="0"/>
          <w:sz w:val="22"/>
          <w:szCs w:val="22"/>
        </w:rPr>
        <w:t xml:space="preserve">-based strategic framework that focuses on intensifying sustainability governance, hardcoding </w:t>
      </w:r>
      <w:r w:rsidR="004F002D">
        <w:rPr>
          <w:rFonts w:ascii="Tahoma" w:hAnsi="Tahoma" w:cs="Tahoma"/>
          <w:b w:val="0"/>
          <w:bCs w:val="0"/>
          <w:sz w:val="22"/>
          <w:szCs w:val="22"/>
        </w:rPr>
        <w:t>the SDGs into financing policies, expanding multi-stakeholder networks, and advancing impact measurement</w:t>
      </w:r>
      <w:r w:rsidR="008D6F75" w:rsidRPr="008D6F75">
        <w:rPr>
          <w:rFonts w:ascii="Tahoma" w:hAnsi="Tahoma" w:cs="Tahoma"/>
          <w:b w:val="0"/>
          <w:bCs w:val="0"/>
          <w:sz w:val="22"/>
          <w:szCs w:val="22"/>
        </w:rPr>
        <w:t xml:space="preserve"> frameworks.</w:t>
      </w:r>
      <w:r w:rsidR="008D6F75">
        <w:rPr>
          <w:rFonts w:ascii="Tahoma" w:hAnsi="Tahoma" w:cs="Tahoma"/>
          <w:b w:val="0"/>
          <w:bCs w:val="0"/>
          <w:sz w:val="22"/>
          <w:szCs w:val="22"/>
        </w:rPr>
        <w:t xml:space="preserve"> </w:t>
      </w:r>
      <w:r w:rsidR="008D6F75" w:rsidRPr="008D6F75">
        <w:rPr>
          <w:rFonts w:ascii="Tahoma" w:hAnsi="Tahoma" w:cs="Tahoma"/>
          <w:b w:val="0"/>
          <w:bCs w:val="0"/>
          <w:sz w:val="22"/>
          <w:szCs w:val="22"/>
        </w:rPr>
        <w:t>By doing so, this research significantly enriches the existing literature</w:t>
      </w:r>
      <w:r w:rsidR="004F002D">
        <w:rPr>
          <w:rFonts w:ascii="Tahoma" w:hAnsi="Tahoma" w:cs="Tahoma"/>
          <w:b w:val="0"/>
          <w:bCs w:val="0"/>
          <w:sz w:val="22"/>
          <w:szCs w:val="22"/>
        </w:rPr>
        <w:t xml:space="preserve"> by offering a functional framework that synthesizes the </w:t>
      </w:r>
      <w:r w:rsidR="008D6F75" w:rsidRPr="008D6F75">
        <w:rPr>
          <w:rFonts w:ascii="Tahoma" w:hAnsi="Tahoma" w:cs="Tahoma"/>
          <w:b w:val="0"/>
          <w:bCs w:val="0"/>
          <w:sz w:val="22"/>
          <w:szCs w:val="22"/>
        </w:rPr>
        <w:t xml:space="preserve">SDGs with </w:t>
      </w:r>
      <w:proofErr w:type="spellStart"/>
      <w:r w:rsidR="008D6F75" w:rsidRPr="008D6F75">
        <w:rPr>
          <w:rFonts w:ascii="Tahoma" w:hAnsi="Tahoma" w:cs="Tahoma"/>
          <w:b w:val="0"/>
          <w:bCs w:val="0"/>
          <w:sz w:val="22"/>
          <w:szCs w:val="22"/>
        </w:rPr>
        <w:t>maqashid</w:t>
      </w:r>
      <w:proofErr w:type="spellEnd"/>
      <w:r w:rsidR="008D6F75" w:rsidRPr="008D6F75">
        <w:rPr>
          <w:rFonts w:ascii="Tahoma" w:hAnsi="Tahoma" w:cs="Tahoma"/>
          <w:b w:val="0"/>
          <w:bCs w:val="0"/>
          <w:sz w:val="22"/>
          <w:szCs w:val="22"/>
        </w:rPr>
        <w:t xml:space="preserve"> al-</w:t>
      </w:r>
      <w:proofErr w:type="spellStart"/>
      <w:r w:rsidR="008D6F75" w:rsidRPr="008D6F75">
        <w:rPr>
          <w:rFonts w:ascii="Tahoma" w:hAnsi="Tahoma" w:cs="Tahoma"/>
          <w:b w:val="0"/>
          <w:bCs w:val="0"/>
          <w:sz w:val="22"/>
          <w:szCs w:val="22"/>
        </w:rPr>
        <w:t>shari'ah</w:t>
      </w:r>
      <w:proofErr w:type="spellEnd"/>
      <w:r w:rsidR="008D6F75" w:rsidRPr="008D6F75">
        <w:rPr>
          <w:rFonts w:ascii="Tahoma" w:hAnsi="Tahoma" w:cs="Tahoma"/>
          <w:b w:val="0"/>
          <w:bCs w:val="0"/>
          <w:sz w:val="22"/>
          <w:szCs w:val="22"/>
        </w:rPr>
        <w:t xml:space="preserve"> within banking operations. Beyond its theoretical merits, the study provides strategic, actionable blueprints for regulators, policymakers, and corporate executives seeking to propel sustainable finance within the Islamic financial ecosystem.</w:t>
      </w:r>
    </w:p>
    <w:p w14:paraId="3AAE9BBF" w14:textId="5035B0DA" w:rsidR="004E0BA7" w:rsidRPr="005D7FE9" w:rsidRDefault="004E0BA7" w:rsidP="00C4794B">
      <w:pPr>
        <w:pStyle w:val="Judul"/>
        <w:jc w:val="both"/>
        <w:rPr>
          <w:rFonts w:ascii="Tahoma" w:hAnsi="Tahoma" w:cs="Tahoma"/>
          <w:b w:val="0"/>
          <w:bCs w:val="0"/>
          <w:sz w:val="22"/>
          <w:szCs w:val="22"/>
        </w:rPr>
      </w:pPr>
      <w:r w:rsidRPr="005D7FE9">
        <w:rPr>
          <w:rFonts w:ascii="Tahoma" w:hAnsi="Tahoma" w:cs="Tahoma"/>
          <w:sz w:val="22"/>
          <w:szCs w:val="22"/>
        </w:rPr>
        <w:t xml:space="preserve">Paper Type: </w:t>
      </w:r>
      <w:r w:rsidRPr="005D7FE9">
        <w:rPr>
          <w:rFonts w:ascii="Tahoma" w:hAnsi="Tahoma" w:cs="Tahoma"/>
          <w:b w:val="0"/>
          <w:bCs w:val="0"/>
          <w:sz w:val="22"/>
          <w:szCs w:val="22"/>
        </w:rPr>
        <w:t>Research Article</w:t>
      </w:r>
      <w:r w:rsidR="00705A8D" w:rsidRPr="005D7FE9">
        <w:rPr>
          <w:rFonts w:ascii="Tahoma" w:hAnsi="Tahoma" w:cs="Tahoma"/>
          <w:b w:val="0"/>
          <w:bCs w:val="0"/>
          <w:sz w:val="22"/>
          <w:szCs w:val="22"/>
        </w:rPr>
        <w:t>.</w:t>
      </w:r>
    </w:p>
    <w:p w14:paraId="00DC2B3C" w14:textId="3A2F7ACD" w:rsidR="00C41347" w:rsidRDefault="004E0BA7" w:rsidP="0071497F">
      <w:pPr>
        <w:pStyle w:val="Judul"/>
        <w:jc w:val="both"/>
        <w:rPr>
          <w:rFonts w:ascii="Tahoma" w:hAnsi="Tahoma" w:cs="Tahoma"/>
          <w:b w:val="0"/>
          <w:bCs w:val="0"/>
          <w:sz w:val="22"/>
          <w:szCs w:val="22"/>
        </w:rPr>
      </w:pPr>
      <w:r w:rsidRPr="005D7FE9">
        <w:rPr>
          <w:rFonts w:ascii="Tahoma" w:hAnsi="Tahoma" w:cs="Tahoma"/>
          <w:sz w:val="22"/>
          <w:szCs w:val="22"/>
        </w:rPr>
        <w:t xml:space="preserve">Keywords: </w:t>
      </w:r>
      <w:r w:rsidR="008D6F75" w:rsidRPr="008D6F75">
        <w:rPr>
          <w:rFonts w:ascii="Tahoma" w:hAnsi="Tahoma" w:cs="Tahoma"/>
          <w:b w:val="0"/>
          <w:bCs w:val="0"/>
          <w:sz w:val="22"/>
          <w:szCs w:val="22"/>
        </w:rPr>
        <w:t xml:space="preserve">Islamic </w:t>
      </w:r>
      <w:r w:rsidR="008D6F75">
        <w:rPr>
          <w:rFonts w:ascii="Tahoma" w:hAnsi="Tahoma" w:cs="Tahoma"/>
          <w:b w:val="0"/>
          <w:bCs w:val="0"/>
          <w:sz w:val="22"/>
          <w:szCs w:val="22"/>
        </w:rPr>
        <w:t>B</w:t>
      </w:r>
      <w:r w:rsidR="008D6F75" w:rsidRPr="008D6F75">
        <w:rPr>
          <w:rFonts w:ascii="Tahoma" w:hAnsi="Tahoma" w:cs="Tahoma"/>
          <w:b w:val="0"/>
          <w:bCs w:val="0"/>
          <w:sz w:val="22"/>
          <w:szCs w:val="22"/>
        </w:rPr>
        <w:t>anking</w:t>
      </w:r>
      <w:r w:rsidR="008D6F75">
        <w:rPr>
          <w:rFonts w:ascii="Tahoma" w:hAnsi="Tahoma" w:cs="Tahoma"/>
          <w:b w:val="0"/>
          <w:bCs w:val="0"/>
          <w:sz w:val="22"/>
          <w:szCs w:val="22"/>
        </w:rPr>
        <w:t>; S</w:t>
      </w:r>
      <w:r w:rsidR="008D6F75" w:rsidRPr="008D6F75">
        <w:rPr>
          <w:rFonts w:ascii="Tahoma" w:hAnsi="Tahoma" w:cs="Tahoma"/>
          <w:b w:val="0"/>
          <w:bCs w:val="0"/>
          <w:sz w:val="22"/>
          <w:szCs w:val="22"/>
        </w:rPr>
        <w:t xml:space="preserve">ustainable </w:t>
      </w:r>
      <w:r w:rsidR="008D6F75">
        <w:rPr>
          <w:rFonts w:ascii="Tahoma" w:hAnsi="Tahoma" w:cs="Tahoma"/>
          <w:b w:val="0"/>
          <w:bCs w:val="0"/>
          <w:sz w:val="22"/>
          <w:szCs w:val="22"/>
        </w:rPr>
        <w:t>D</w:t>
      </w:r>
      <w:r w:rsidR="008D6F75" w:rsidRPr="008D6F75">
        <w:rPr>
          <w:rFonts w:ascii="Tahoma" w:hAnsi="Tahoma" w:cs="Tahoma"/>
          <w:b w:val="0"/>
          <w:bCs w:val="0"/>
          <w:sz w:val="22"/>
          <w:szCs w:val="22"/>
        </w:rPr>
        <w:t xml:space="preserve">evelopment </w:t>
      </w:r>
      <w:r w:rsidR="008D6F75">
        <w:rPr>
          <w:rFonts w:ascii="Tahoma" w:hAnsi="Tahoma" w:cs="Tahoma"/>
          <w:b w:val="0"/>
          <w:bCs w:val="0"/>
          <w:sz w:val="22"/>
          <w:szCs w:val="22"/>
        </w:rPr>
        <w:t>G</w:t>
      </w:r>
      <w:r w:rsidR="008D6F75" w:rsidRPr="008D6F75">
        <w:rPr>
          <w:rFonts w:ascii="Tahoma" w:hAnsi="Tahoma" w:cs="Tahoma"/>
          <w:b w:val="0"/>
          <w:bCs w:val="0"/>
          <w:sz w:val="22"/>
          <w:szCs w:val="22"/>
        </w:rPr>
        <w:t>oals</w:t>
      </w:r>
      <w:r w:rsidR="008D6F75">
        <w:rPr>
          <w:rFonts w:ascii="Tahoma" w:hAnsi="Tahoma" w:cs="Tahoma"/>
          <w:b w:val="0"/>
          <w:bCs w:val="0"/>
          <w:sz w:val="22"/>
          <w:szCs w:val="22"/>
        </w:rPr>
        <w:t>;</w:t>
      </w:r>
      <w:r w:rsidR="008D6F75" w:rsidRPr="008D6F75">
        <w:rPr>
          <w:rFonts w:ascii="Tahoma" w:hAnsi="Tahoma" w:cs="Tahoma"/>
          <w:b w:val="0"/>
          <w:bCs w:val="0"/>
          <w:sz w:val="22"/>
          <w:szCs w:val="22"/>
        </w:rPr>
        <w:t xml:space="preserve"> </w:t>
      </w:r>
      <w:proofErr w:type="spellStart"/>
      <w:r w:rsidR="008D6F75">
        <w:rPr>
          <w:rFonts w:ascii="Tahoma" w:hAnsi="Tahoma" w:cs="Tahoma"/>
          <w:b w:val="0"/>
          <w:bCs w:val="0"/>
          <w:sz w:val="22"/>
          <w:szCs w:val="22"/>
        </w:rPr>
        <w:t>M</w:t>
      </w:r>
      <w:r w:rsidR="008D6F75" w:rsidRPr="008D6F75">
        <w:rPr>
          <w:rFonts w:ascii="Tahoma" w:hAnsi="Tahoma" w:cs="Tahoma"/>
          <w:b w:val="0"/>
          <w:bCs w:val="0"/>
          <w:sz w:val="22"/>
          <w:szCs w:val="22"/>
        </w:rPr>
        <w:t>aqashid</w:t>
      </w:r>
      <w:proofErr w:type="spellEnd"/>
      <w:r w:rsidR="008D6F75" w:rsidRPr="008D6F75">
        <w:rPr>
          <w:rFonts w:ascii="Tahoma" w:hAnsi="Tahoma" w:cs="Tahoma"/>
          <w:b w:val="0"/>
          <w:bCs w:val="0"/>
          <w:sz w:val="22"/>
          <w:szCs w:val="22"/>
        </w:rPr>
        <w:t xml:space="preserve"> </w:t>
      </w:r>
      <w:r w:rsidR="008D6F75">
        <w:rPr>
          <w:rFonts w:ascii="Tahoma" w:hAnsi="Tahoma" w:cs="Tahoma"/>
          <w:b w:val="0"/>
          <w:bCs w:val="0"/>
          <w:sz w:val="22"/>
          <w:szCs w:val="22"/>
        </w:rPr>
        <w:t>S</w:t>
      </w:r>
      <w:r w:rsidR="008D6F75" w:rsidRPr="008D6F75">
        <w:rPr>
          <w:rFonts w:ascii="Tahoma" w:hAnsi="Tahoma" w:cs="Tahoma"/>
          <w:b w:val="0"/>
          <w:bCs w:val="0"/>
          <w:sz w:val="22"/>
          <w:szCs w:val="22"/>
        </w:rPr>
        <w:t>hariah</w:t>
      </w:r>
      <w:r w:rsidR="008D6F75">
        <w:rPr>
          <w:rFonts w:ascii="Tahoma" w:hAnsi="Tahoma" w:cs="Tahoma"/>
          <w:b w:val="0"/>
          <w:bCs w:val="0"/>
          <w:sz w:val="22"/>
          <w:szCs w:val="22"/>
        </w:rPr>
        <w:t>;</w:t>
      </w:r>
      <w:r w:rsidR="008D6F75" w:rsidRPr="008D6F75">
        <w:rPr>
          <w:rFonts w:ascii="Tahoma" w:hAnsi="Tahoma" w:cs="Tahoma"/>
          <w:b w:val="0"/>
          <w:bCs w:val="0"/>
          <w:sz w:val="22"/>
          <w:szCs w:val="22"/>
        </w:rPr>
        <w:t xml:space="preserve"> </w:t>
      </w:r>
      <w:r w:rsidR="008D6F75">
        <w:rPr>
          <w:rFonts w:ascii="Tahoma" w:hAnsi="Tahoma" w:cs="Tahoma"/>
          <w:b w:val="0"/>
          <w:bCs w:val="0"/>
          <w:sz w:val="22"/>
          <w:szCs w:val="22"/>
        </w:rPr>
        <w:t>S</w:t>
      </w:r>
      <w:r w:rsidR="008D6F75" w:rsidRPr="008D6F75">
        <w:rPr>
          <w:rFonts w:ascii="Tahoma" w:hAnsi="Tahoma" w:cs="Tahoma"/>
          <w:b w:val="0"/>
          <w:bCs w:val="0"/>
          <w:sz w:val="22"/>
          <w:szCs w:val="22"/>
        </w:rPr>
        <w:t xml:space="preserve">ustainable </w:t>
      </w:r>
      <w:r w:rsidR="008D6F75">
        <w:rPr>
          <w:rFonts w:ascii="Tahoma" w:hAnsi="Tahoma" w:cs="Tahoma"/>
          <w:b w:val="0"/>
          <w:bCs w:val="0"/>
          <w:sz w:val="22"/>
          <w:szCs w:val="22"/>
        </w:rPr>
        <w:t>F</w:t>
      </w:r>
      <w:r w:rsidR="008D6F75" w:rsidRPr="008D6F75">
        <w:rPr>
          <w:rFonts w:ascii="Tahoma" w:hAnsi="Tahoma" w:cs="Tahoma"/>
          <w:b w:val="0"/>
          <w:bCs w:val="0"/>
          <w:sz w:val="22"/>
          <w:szCs w:val="22"/>
        </w:rPr>
        <w:t>inance</w:t>
      </w:r>
      <w:r w:rsidR="00517ADE">
        <w:rPr>
          <w:rFonts w:ascii="Tahoma" w:hAnsi="Tahoma" w:cs="Tahoma"/>
          <w:b w:val="0"/>
          <w:bCs w:val="0"/>
          <w:sz w:val="22"/>
          <w:szCs w:val="22"/>
        </w:rPr>
        <w:t>;</w:t>
      </w:r>
      <w:r w:rsidR="008D6F75" w:rsidRPr="008D6F75">
        <w:rPr>
          <w:rFonts w:ascii="Tahoma" w:hAnsi="Tahoma" w:cs="Tahoma"/>
          <w:b w:val="0"/>
          <w:bCs w:val="0"/>
          <w:sz w:val="22"/>
          <w:szCs w:val="22"/>
        </w:rPr>
        <w:t xml:space="preserve"> Islamic </w:t>
      </w:r>
      <w:r w:rsidR="008D6F75">
        <w:rPr>
          <w:rFonts w:ascii="Tahoma" w:hAnsi="Tahoma" w:cs="Tahoma"/>
          <w:b w:val="0"/>
          <w:bCs w:val="0"/>
          <w:sz w:val="22"/>
          <w:szCs w:val="22"/>
        </w:rPr>
        <w:t>E</w:t>
      </w:r>
      <w:r w:rsidR="008D6F75" w:rsidRPr="008D6F75">
        <w:rPr>
          <w:rFonts w:ascii="Tahoma" w:hAnsi="Tahoma" w:cs="Tahoma"/>
          <w:b w:val="0"/>
          <w:bCs w:val="0"/>
          <w:sz w:val="22"/>
          <w:szCs w:val="22"/>
        </w:rPr>
        <w:t xml:space="preserve">conomic </w:t>
      </w:r>
      <w:r w:rsidR="008D6F75">
        <w:rPr>
          <w:rFonts w:ascii="Tahoma" w:hAnsi="Tahoma" w:cs="Tahoma"/>
          <w:b w:val="0"/>
          <w:bCs w:val="0"/>
          <w:sz w:val="22"/>
          <w:szCs w:val="22"/>
        </w:rPr>
        <w:t>L</w:t>
      </w:r>
      <w:r w:rsidR="008D6F75" w:rsidRPr="008D6F75">
        <w:rPr>
          <w:rFonts w:ascii="Tahoma" w:hAnsi="Tahoma" w:cs="Tahoma"/>
          <w:b w:val="0"/>
          <w:bCs w:val="0"/>
          <w:sz w:val="22"/>
          <w:szCs w:val="22"/>
        </w:rPr>
        <w:t>aw</w:t>
      </w:r>
      <w:r w:rsidR="00517ADE">
        <w:rPr>
          <w:rFonts w:ascii="Tahoma" w:hAnsi="Tahoma" w:cs="Tahoma"/>
          <w:b w:val="0"/>
          <w:bCs w:val="0"/>
          <w:sz w:val="22"/>
          <w:szCs w:val="22"/>
        </w:rPr>
        <w:t>;</w:t>
      </w:r>
      <w:r w:rsidR="008D6F75" w:rsidRPr="008D6F75">
        <w:rPr>
          <w:rFonts w:ascii="Tahoma" w:hAnsi="Tahoma" w:cs="Tahoma"/>
          <w:b w:val="0"/>
          <w:bCs w:val="0"/>
          <w:sz w:val="22"/>
          <w:szCs w:val="22"/>
        </w:rPr>
        <w:t xml:space="preserve"> Yogyakarta.</w:t>
      </w:r>
    </w:p>
    <w:p w14:paraId="0FF1E8C5" w14:textId="77777777" w:rsidR="008D6F75" w:rsidRPr="005D7FE9" w:rsidRDefault="008D6F75" w:rsidP="0071497F">
      <w:pPr>
        <w:pStyle w:val="Judul"/>
        <w:jc w:val="both"/>
        <w:rPr>
          <w:rFonts w:ascii="Tahoma" w:hAnsi="Tahoma" w:cs="Tahoma"/>
          <w:b w:val="0"/>
          <w:bCs w:val="0"/>
          <w:sz w:val="22"/>
          <w:szCs w:val="22"/>
        </w:rPr>
      </w:pPr>
    </w:p>
    <w:p w14:paraId="2D543E44" w14:textId="77777777" w:rsidR="004E0BA7" w:rsidRPr="005D7FE9" w:rsidRDefault="004E0BA7" w:rsidP="009418E7">
      <w:pPr>
        <w:pStyle w:val="SubTopicSubJudul"/>
        <w:spacing w:before="0" w:line="240" w:lineRule="auto"/>
        <w:rPr>
          <w:rFonts w:ascii="Tahoma" w:hAnsi="Tahoma" w:cs="Tahoma"/>
        </w:rPr>
      </w:pPr>
      <w:r w:rsidRPr="005D7FE9">
        <w:rPr>
          <w:rFonts w:ascii="Tahoma" w:hAnsi="Tahoma" w:cs="Tahoma"/>
        </w:rPr>
        <w:t>Introduction</w:t>
      </w:r>
    </w:p>
    <w:p w14:paraId="3C17C1DB" w14:textId="10AE4CCB" w:rsidR="009418E7" w:rsidRPr="009418E7" w:rsidRDefault="009418E7" w:rsidP="005C182F">
      <w:pPr>
        <w:pStyle w:val="SubTopicSubJudul"/>
        <w:spacing w:before="0"/>
        <w:ind w:firstLine="567"/>
        <w:rPr>
          <w:rFonts w:ascii="Tahoma" w:hAnsi="Tahoma" w:cs="Tahoma"/>
          <w:b w:val="0"/>
          <w:bCs w:val="0"/>
        </w:rPr>
      </w:pPr>
      <w:r w:rsidRPr="009418E7">
        <w:rPr>
          <w:rFonts w:ascii="Tahoma" w:hAnsi="Tahoma" w:cs="Tahoma"/>
          <w:b w:val="0"/>
          <w:bCs w:val="0"/>
        </w:rPr>
        <w:t>The structural transformation of the global financial system toward sustainability has compelled the financial sector to pivot from exclusive profit-maximization toward integrating environmental, social, and governance (ESG) values. Within Islamic Economic Law (</w:t>
      </w:r>
      <w:proofErr w:type="spellStart"/>
      <w:r w:rsidRPr="009418E7">
        <w:rPr>
          <w:rFonts w:ascii="Tahoma" w:hAnsi="Tahoma" w:cs="Tahoma"/>
          <w:b w:val="0"/>
          <w:bCs w:val="0"/>
          <w:i/>
          <w:iCs/>
        </w:rPr>
        <w:t>Muamalah</w:t>
      </w:r>
      <w:proofErr w:type="spellEnd"/>
      <w:r w:rsidRPr="009418E7">
        <w:rPr>
          <w:rFonts w:ascii="Tahoma" w:hAnsi="Tahoma" w:cs="Tahoma"/>
          <w:b w:val="0"/>
          <w:bCs w:val="0"/>
        </w:rPr>
        <w:t>), the foundational tenets of justice, public interest (</w:t>
      </w:r>
      <w:proofErr w:type="spellStart"/>
      <w:r w:rsidRPr="009418E7">
        <w:rPr>
          <w:rFonts w:ascii="Tahoma" w:hAnsi="Tahoma" w:cs="Tahoma"/>
          <w:b w:val="0"/>
          <w:bCs w:val="0"/>
          <w:i/>
          <w:iCs/>
        </w:rPr>
        <w:t>maslahah</w:t>
      </w:r>
      <w:proofErr w:type="spellEnd"/>
      <w:r w:rsidRPr="009418E7">
        <w:rPr>
          <w:rFonts w:ascii="Tahoma" w:hAnsi="Tahoma" w:cs="Tahoma"/>
          <w:b w:val="0"/>
          <w:bCs w:val="0"/>
        </w:rPr>
        <w:t xml:space="preserve">), equilibrium, and social responsibility exhibit a profound normative alignment with the United Nations Sustainable Development Goals (SDGs) </w:t>
      </w:r>
      <w:r w:rsidR="00F5370A">
        <w:rPr>
          <w:rFonts w:ascii="Tahoma" w:hAnsi="Tahoma" w:cs="Tahoma"/>
          <w:b w:val="0"/>
          <w:bCs w:val="0"/>
        </w:rPr>
        <w:fldChar w:fldCharType="begin" w:fldLock="1"/>
      </w:r>
      <w:r w:rsidR="00EE03B9">
        <w:rPr>
          <w:rFonts w:ascii="Tahoma" w:hAnsi="Tahoma" w:cs="Tahoma"/>
          <w:b w:val="0"/>
          <w:bCs w:val="0"/>
        </w:rPr>
        <w:instrText>ADDIN CSL_CITATION {"citationItems":[{"id":"ITEM-1","itemData":{"DOI":"10.28992/ijsam.v5i1.286","author":[{"dropping-particle":"","family":"Muhmad","given":"Siti Nurain","non-dropping-particle":"","parse-names":false,"suffix":""},{"dropping-particle":"","family":"Muhamad","given":"Rusnah","non-dropping-particle":"","parse-names":false,"suffix":""},{"dropping-particle":"","family":"Sulong","given":"Farizah","non-dropping-particle":"","parse-names":false,"suffix":""}],"container-title":"Indonesian Journal of Sustainability Accounting and Management,","id":"ITEM-1","issue":"1","issued":{"date-parts":[["2021"]]},"page":"123–136.","title":"Sustainable Development Goals and Islamic Finance : An Integrated Approach for Islamic Financial Institutions","type":"article-journal","volume":"5"},"uris":["http://www.mendeley.com/documents/?uuid=cf38a985-e200-4591-bed7-2690078cbf68"]}],"mendeley":{"formattedCitation":"(Muhmad et al., 2021)","plainTextFormattedCitation":"(Muhmad et al., 2021)","previouslyFormattedCitation":"(Muhmad et al., 2021)"},"properties":{"noteIndex":0},"schema":"https://github.com/citation-style-language/schema/raw/master/csl-citation.json"}</w:instrText>
      </w:r>
      <w:r w:rsidR="00F5370A">
        <w:rPr>
          <w:rFonts w:ascii="Tahoma" w:hAnsi="Tahoma" w:cs="Tahoma"/>
          <w:b w:val="0"/>
          <w:bCs w:val="0"/>
        </w:rPr>
        <w:fldChar w:fldCharType="separate"/>
      </w:r>
      <w:r w:rsidR="00F5370A" w:rsidRPr="00F5370A">
        <w:rPr>
          <w:rFonts w:ascii="Tahoma" w:hAnsi="Tahoma" w:cs="Tahoma"/>
          <w:b w:val="0"/>
          <w:bCs w:val="0"/>
          <w:noProof/>
        </w:rPr>
        <w:t>(Muhmad et al., 2021)</w:t>
      </w:r>
      <w:r w:rsidR="00F5370A">
        <w:rPr>
          <w:rFonts w:ascii="Tahoma" w:hAnsi="Tahoma" w:cs="Tahoma"/>
          <w:b w:val="0"/>
          <w:bCs w:val="0"/>
        </w:rPr>
        <w:fldChar w:fldCharType="end"/>
      </w:r>
      <w:r w:rsidRPr="009418E7">
        <w:rPr>
          <w:rFonts w:ascii="Tahoma" w:hAnsi="Tahoma" w:cs="Tahoma"/>
          <w:b w:val="0"/>
          <w:bCs w:val="0"/>
        </w:rPr>
        <w:t xml:space="preserve">. Furthermore, contemporary literature underscores that </w:t>
      </w:r>
      <w:proofErr w:type="spellStart"/>
      <w:r w:rsidRPr="009418E7">
        <w:rPr>
          <w:rFonts w:ascii="Tahoma" w:hAnsi="Tahoma" w:cs="Tahoma"/>
          <w:b w:val="0"/>
          <w:bCs w:val="0"/>
          <w:i/>
          <w:iCs/>
        </w:rPr>
        <w:t>maqashid</w:t>
      </w:r>
      <w:proofErr w:type="spellEnd"/>
      <w:r w:rsidRPr="009418E7">
        <w:rPr>
          <w:rFonts w:ascii="Tahoma" w:hAnsi="Tahoma" w:cs="Tahoma"/>
          <w:b w:val="0"/>
          <w:bCs w:val="0"/>
          <w:i/>
          <w:iCs/>
        </w:rPr>
        <w:t xml:space="preserve"> al-</w:t>
      </w:r>
      <w:proofErr w:type="spellStart"/>
      <w:r w:rsidRPr="009418E7">
        <w:rPr>
          <w:rFonts w:ascii="Tahoma" w:hAnsi="Tahoma" w:cs="Tahoma"/>
          <w:b w:val="0"/>
          <w:bCs w:val="0"/>
          <w:i/>
          <w:iCs/>
        </w:rPr>
        <w:t>shari'ah</w:t>
      </w:r>
      <w:proofErr w:type="spellEnd"/>
      <w:r w:rsidRPr="009418E7">
        <w:rPr>
          <w:rFonts w:ascii="Tahoma" w:hAnsi="Tahoma" w:cs="Tahoma"/>
          <w:b w:val="0"/>
          <w:bCs w:val="0"/>
        </w:rPr>
        <w:t xml:space="preserve"> transcends its traditional role as a mere ethical compass; it functions as an operational development framework safeguarding religion, life, intellect, lineage, and wealth—principles inherently synchronized with modern sustainability benchmarks </w:t>
      </w:r>
      <w:r w:rsidR="00EE03B9">
        <w:rPr>
          <w:rFonts w:ascii="Tahoma" w:hAnsi="Tahoma" w:cs="Tahoma"/>
          <w:b w:val="0"/>
          <w:bCs w:val="0"/>
        </w:rPr>
        <w:fldChar w:fldCharType="begin" w:fldLock="1"/>
      </w:r>
      <w:r w:rsidR="00AA3975">
        <w:rPr>
          <w:rFonts w:ascii="Tahoma" w:hAnsi="Tahoma" w:cs="Tahoma"/>
          <w:b w:val="0"/>
          <w:bCs w:val="0"/>
        </w:rPr>
        <w:instrText>ADDIN CSL_CITATION {"citationItems":[{"id":"ITEM-1","itemData":{"DOI":"10.58824/jdls.v1i2.226","author":[{"dropping-particle":"","family":"Nurhikmah","given":"","non-dropping-particle":"","parse-names":false,"suffix":""}],"container-title":"Journal of Dual Legal System","id":"ITEM-1","issue":"2","issued":{"date-parts":[["2024"]]},"page":"103-117","title":"Maqashid Al-Shariah : Kerangka Adaptif Hukum Islam untuk Menjawab Tantangan Kontemporer","type":"article-journal","volume":"1"},"uris":["http://www.mendeley.com/documents/?uuid=448ef7c1-5bee-4348-a9c7-1c84a6f4396f"]}],"mendeley":{"formattedCitation":"(Nurhikmah, 2024)","plainTextFormattedCitation":"(Nurhikmah, 2024)","previouslyFormattedCitation":"(Nurhikmah, 2024)"},"properties":{"noteIndex":0},"schema":"https://github.com/citation-style-language/schema/raw/master/csl-citation.json"}</w:instrText>
      </w:r>
      <w:r w:rsidR="00EE03B9">
        <w:rPr>
          <w:rFonts w:ascii="Tahoma" w:hAnsi="Tahoma" w:cs="Tahoma"/>
          <w:b w:val="0"/>
          <w:bCs w:val="0"/>
        </w:rPr>
        <w:fldChar w:fldCharType="separate"/>
      </w:r>
      <w:r w:rsidR="00EE03B9" w:rsidRPr="00EE03B9">
        <w:rPr>
          <w:rFonts w:ascii="Tahoma" w:hAnsi="Tahoma" w:cs="Tahoma"/>
          <w:b w:val="0"/>
          <w:bCs w:val="0"/>
          <w:noProof/>
        </w:rPr>
        <w:t>(Nurhikmah, 2024)</w:t>
      </w:r>
      <w:r w:rsidR="00EE03B9">
        <w:rPr>
          <w:rFonts w:ascii="Tahoma" w:hAnsi="Tahoma" w:cs="Tahoma"/>
          <w:b w:val="0"/>
          <w:bCs w:val="0"/>
        </w:rPr>
        <w:fldChar w:fldCharType="end"/>
      </w:r>
      <w:r w:rsidRPr="009418E7">
        <w:rPr>
          <w:rFonts w:ascii="Tahoma" w:hAnsi="Tahoma" w:cs="Tahoma"/>
          <w:b w:val="0"/>
          <w:bCs w:val="0"/>
        </w:rPr>
        <w:t>. Amid escalating regional crises such as poverty, socioeconomic disparity, climate change, and financial exclusion, Islamic financial institutions possess the strategic capacity to foster inclusive growth via welfare-oriented financing mechanisms</w:t>
      </w:r>
      <w:r w:rsidR="00AA3975">
        <w:rPr>
          <w:rFonts w:ascii="Tahoma" w:hAnsi="Tahoma" w:cs="Tahoma"/>
          <w:b w:val="0"/>
          <w:bCs w:val="0"/>
        </w:rPr>
        <w:t xml:space="preserve"> </w:t>
      </w:r>
      <w:r w:rsidR="00AA3975">
        <w:rPr>
          <w:rFonts w:ascii="Tahoma" w:hAnsi="Tahoma" w:cs="Tahoma"/>
          <w:b w:val="0"/>
          <w:bCs w:val="0"/>
        </w:rPr>
        <w:fldChar w:fldCharType="begin" w:fldLock="1"/>
      </w:r>
      <w:r w:rsidR="00D52E7E">
        <w:rPr>
          <w:rFonts w:ascii="Tahoma" w:hAnsi="Tahoma" w:cs="Tahoma"/>
          <w:b w:val="0"/>
          <w:bCs w:val="0"/>
        </w:rPr>
        <w:instrText>ADDIN CSL_CITATION {"citationItems":[{"id":"ITEM-1","itemData":{"author":[{"dropping-particle":"","family":"Dusuki","given":"Asyraf Wajdi","non-dropping-particle":"","parse-names":false,"suffix":""},{"dropping-particle":"","family":"Abozaid","given":"Abdulazeem","non-dropping-particle":"","parse-names":false,"suffix":""}],"container-title":"IIUM Journal of Economics and Managemen","id":"ITEM-1","issue":"2","issued":{"date-parts":[["2007"]]},"page":"143-165","title":"A Critical Appraisal On The Challenges Of Realizing","type":"article-journal","volume":"2"},"uris":["http://www.mendeley.com/documents/?uuid=932b2bb1-e78a-4c0e-8eb5-5541377d79cd"]}],"mendeley":{"formattedCitation":"(Dusuki &amp; Abozaid, 2007)","plainTextFormattedCitation":"(Dusuki &amp; Abozaid, 2007)","previouslyFormattedCitation":"(Dusuki &amp; Abozaid, 2007)"},"properties":{"noteIndex":0},"schema":"https://github.com/citation-style-language/schema/raw/master/csl-citation.json"}</w:instrText>
      </w:r>
      <w:r w:rsidR="00AA3975">
        <w:rPr>
          <w:rFonts w:ascii="Tahoma" w:hAnsi="Tahoma" w:cs="Tahoma"/>
          <w:b w:val="0"/>
          <w:bCs w:val="0"/>
        </w:rPr>
        <w:fldChar w:fldCharType="separate"/>
      </w:r>
      <w:r w:rsidR="00AA3975" w:rsidRPr="00AA3975">
        <w:rPr>
          <w:rFonts w:ascii="Tahoma" w:hAnsi="Tahoma" w:cs="Tahoma"/>
          <w:b w:val="0"/>
          <w:bCs w:val="0"/>
          <w:noProof/>
        </w:rPr>
        <w:t>(Dusuki &amp; Abozaid, 2007)</w:t>
      </w:r>
      <w:r w:rsidR="00AA3975">
        <w:rPr>
          <w:rFonts w:ascii="Tahoma" w:hAnsi="Tahoma" w:cs="Tahoma"/>
          <w:b w:val="0"/>
          <w:bCs w:val="0"/>
        </w:rPr>
        <w:fldChar w:fldCharType="end"/>
      </w:r>
      <w:r w:rsidR="00AA3975">
        <w:rPr>
          <w:rFonts w:ascii="Tahoma" w:hAnsi="Tahoma" w:cs="Tahoma"/>
          <w:b w:val="0"/>
          <w:bCs w:val="0"/>
        </w:rPr>
        <w:t xml:space="preserve">. </w:t>
      </w:r>
      <w:r w:rsidRPr="009418E7">
        <w:rPr>
          <w:rFonts w:ascii="Tahoma" w:hAnsi="Tahoma" w:cs="Tahoma"/>
          <w:b w:val="0"/>
          <w:bCs w:val="0"/>
        </w:rPr>
        <w:t xml:space="preserve">Consequently, synthesizing SDGs with </w:t>
      </w:r>
      <w:proofErr w:type="spellStart"/>
      <w:r w:rsidRPr="009418E7">
        <w:rPr>
          <w:rFonts w:ascii="Tahoma" w:hAnsi="Tahoma" w:cs="Tahoma"/>
          <w:b w:val="0"/>
          <w:bCs w:val="0"/>
          <w:i/>
          <w:iCs/>
        </w:rPr>
        <w:t>maqashid</w:t>
      </w:r>
      <w:proofErr w:type="spellEnd"/>
      <w:r w:rsidRPr="009418E7">
        <w:rPr>
          <w:rFonts w:ascii="Tahoma" w:hAnsi="Tahoma" w:cs="Tahoma"/>
          <w:b w:val="0"/>
          <w:bCs w:val="0"/>
          <w:i/>
          <w:iCs/>
        </w:rPr>
        <w:t xml:space="preserve"> al-</w:t>
      </w:r>
      <w:proofErr w:type="spellStart"/>
      <w:r w:rsidRPr="009418E7">
        <w:rPr>
          <w:rFonts w:ascii="Tahoma" w:hAnsi="Tahoma" w:cs="Tahoma"/>
          <w:b w:val="0"/>
          <w:bCs w:val="0"/>
          <w:i/>
          <w:iCs/>
        </w:rPr>
        <w:t>shari'ah</w:t>
      </w:r>
      <w:proofErr w:type="spellEnd"/>
      <w:r w:rsidRPr="009418E7">
        <w:rPr>
          <w:rFonts w:ascii="Tahoma" w:hAnsi="Tahoma" w:cs="Tahoma"/>
          <w:b w:val="0"/>
          <w:bCs w:val="0"/>
        </w:rPr>
        <w:t xml:space="preserve"> has emerged as a cornerstone of contemporary Islamic economic governance, necessitating rigorous empirical and conceptual interrogation.</w:t>
      </w:r>
    </w:p>
    <w:p w14:paraId="718B4E2F" w14:textId="77777777" w:rsidR="005C182F" w:rsidRDefault="009418E7" w:rsidP="005C182F">
      <w:pPr>
        <w:pStyle w:val="SubTopicSubJudul"/>
        <w:spacing w:before="0"/>
        <w:ind w:firstLine="567"/>
        <w:rPr>
          <w:rFonts w:ascii="Tahoma" w:hAnsi="Tahoma" w:cs="Tahoma"/>
          <w:b w:val="0"/>
          <w:bCs w:val="0"/>
        </w:rPr>
      </w:pPr>
      <w:bookmarkStart w:id="0" w:name="_Hlk233786623"/>
      <w:r w:rsidRPr="009418E7">
        <w:rPr>
          <w:rFonts w:ascii="Tahoma" w:hAnsi="Tahoma" w:cs="Tahoma"/>
          <w:b w:val="0"/>
          <w:bCs w:val="0"/>
        </w:rPr>
        <w:t xml:space="preserve">Extensive scholarly literature has scrutinized the interface </w:t>
      </w:r>
      <w:r w:rsidR="004F002D">
        <w:rPr>
          <w:rFonts w:ascii="Tahoma" w:hAnsi="Tahoma" w:cs="Tahoma"/>
          <w:b w:val="0"/>
          <w:bCs w:val="0"/>
        </w:rPr>
        <w:t xml:space="preserve">among Islamic banking operations, the attainment of the SDGs, and the implementation of </w:t>
      </w:r>
      <w:proofErr w:type="spellStart"/>
      <w:r w:rsidR="004F002D">
        <w:rPr>
          <w:rFonts w:ascii="Tahoma" w:hAnsi="Tahoma" w:cs="Tahoma"/>
          <w:b w:val="0"/>
          <w:bCs w:val="0"/>
        </w:rPr>
        <w:t>maqashid</w:t>
      </w:r>
      <w:proofErr w:type="spellEnd"/>
      <w:r w:rsidR="004F002D">
        <w:rPr>
          <w:rFonts w:ascii="Tahoma" w:hAnsi="Tahoma" w:cs="Tahoma"/>
          <w:b w:val="0"/>
          <w:bCs w:val="0"/>
        </w:rPr>
        <w:t xml:space="preserve"> al-</w:t>
      </w:r>
      <w:proofErr w:type="spellStart"/>
      <w:r w:rsidR="004F002D">
        <w:rPr>
          <w:rFonts w:ascii="Tahoma" w:hAnsi="Tahoma" w:cs="Tahoma"/>
          <w:b w:val="0"/>
          <w:bCs w:val="0"/>
        </w:rPr>
        <w:t>shari'ah</w:t>
      </w:r>
      <w:proofErr w:type="spellEnd"/>
      <w:r w:rsidR="004F002D">
        <w:rPr>
          <w:rFonts w:ascii="Tahoma" w:hAnsi="Tahoma" w:cs="Tahoma"/>
          <w:b w:val="0"/>
          <w:bCs w:val="0"/>
        </w:rPr>
        <w:t xml:space="preserve"> </w:t>
      </w:r>
      <w:r w:rsidRPr="009418E7">
        <w:rPr>
          <w:rFonts w:ascii="Tahoma" w:hAnsi="Tahoma" w:cs="Tahoma"/>
          <w:b w:val="0"/>
          <w:bCs w:val="0"/>
        </w:rPr>
        <w:lastRenderedPageBreak/>
        <w:t xml:space="preserve">across various jurisdictions. In the Gulf Cooperation Council (GCC) region, empirical evidence demonstrates that Sharia-compliant financing significantly mitigates poverty, expands financial access, and catalyzes micro-enterprise development, directly advancing SDGs 1, 8, and 10 </w:t>
      </w:r>
      <w:r w:rsidR="00D52E7E">
        <w:rPr>
          <w:rFonts w:ascii="Tahoma" w:hAnsi="Tahoma" w:cs="Tahoma"/>
          <w:b w:val="0"/>
          <w:bCs w:val="0"/>
        </w:rPr>
        <w:fldChar w:fldCharType="begin" w:fldLock="1"/>
      </w:r>
      <w:r w:rsidR="00F54E0C">
        <w:rPr>
          <w:rFonts w:ascii="Tahoma" w:hAnsi="Tahoma" w:cs="Tahoma"/>
          <w:b w:val="0"/>
          <w:bCs w:val="0"/>
        </w:rPr>
        <w:instrText>ADDIN CSL_CITATION {"citationItems":[{"id":"ITEM-1","itemData":{"DOI":"10.1596/1813-9450-7266","author":[{"dropping-particle":"","family":"Mohieldin","given":"Habib Ahmed Mahmoud","non-dropping-particle":"","parse-names":false,"suffix":""},{"dropping-particle":"","family":"Aboulmagd","given":"Jos Varbeek Farida","non-dropping-particle":"","parse-names":false,"suffix":""}],"container-title":"World Bank Policy Research Working Paper No. 7266","id":"ITEM-1","issued":{"date-parts":[["2015"]]},"number-of-pages":"1-47","title":"On the Sustainable Development Goals and the Role of Islamic Finance","type":"report"},"uris":["http://www.mendeley.com/documents/?uuid=d0ba337f-679f-4124-badb-fa05bac0400c"]}],"mendeley":{"formattedCitation":"(Mohieldin &amp; Aboulmagd, 2015)","plainTextFormattedCitation":"(Mohieldin &amp; Aboulmagd, 2015)","previouslyFormattedCitation":"(Mohieldin &amp; Aboulmagd, 2015)"},"properties":{"noteIndex":0},"schema":"https://github.com/citation-style-language/schema/raw/master/csl-citation.json"}</w:instrText>
      </w:r>
      <w:r w:rsidR="00D52E7E">
        <w:rPr>
          <w:rFonts w:ascii="Tahoma" w:hAnsi="Tahoma" w:cs="Tahoma"/>
          <w:b w:val="0"/>
          <w:bCs w:val="0"/>
        </w:rPr>
        <w:fldChar w:fldCharType="separate"/>
      </w:r>
      <w:r w:rsidR="000366A6" w:rsidRPr="000366A6">
        <w:rPr>
          <w:rFonts w:ascii="Tahoma" w:hAnsi="Tahoma" w:cs="Tahoma"/>
          <w:b w:val="0"/>
          <w:bCs w:val="0"/>
          <w:noProof/>
        </w:rPr>
        <w:t>(Mohieldin &amp; Aboulmagd, 2015)</w:t>
      </w:r>
      <w:r w:rsidR="00D52E7E">
        <w:rPr>
          <w:rFonts w:ascii="Tahoma" w:hAnsi="Tahoma" w:cs="Tahoma"/>
          <w:b w:val="0"/>
          <w:bCs w:val="0"/>
        </w:rPr>
        <w:fldChar w:fldCharType="end"/>
      </w:r>
      <w:r w:rsidRPr="009418E7">
        <w:rPr>
          <w:rFonts w:ascii="Tahoma" w:hAnsi="Tahoma" w:cs="Tahoma"/>
          <w:b w:val="0"/>
          <w:bCs w:val="0"/>
        </w:rPr>
        <w:t xml:space="preserve">. Concurrently, sustainability practices within these institutions are increasingly institutionalized through Environmental, Social, and Governance (ESG) criteria alongside </w:t>
      </w:r>
      <w:proofErr w:type="spellStart"/>
      <w:r w:rsidRPr="009418E7">
        <w:rPr>
          <w:rFonts w:ascii="Tahoma" w:hAnsi="Tahoma" w:cs="Tahoma"/>
          <w:b w:val="0"/>
          <w:bCs w:val="0"/>
          <w:i/>
          <w:iCs/>
        </w:rPr>
        <w:t>maqashid</w:t>
      </w:r>
      <w:proofErr w:type="spellEnd"/>
      <w:r w:rsidRPr="009418E7">
        <w:rPr>
          <w:rFonts w:ascii="Tahoma" w:hAnsi="Tahoma" w:cs="Tahoma"/>
          <w:b w:val="0"/>
          <w:bCs w:val="0"/>
        </w:rPr>
        <w:t xml:space="preserve"> principles via green financing mandates and social investments </w:t>
      </w:r>
      <w:r w:rsidR="004C14EB">
        <w:rPr>
          <w:rFonts w:ascii="Tahoma" w:hAnsi="Tahoma" w:cs="Tahoma"/>
          <w:b w:val="0"/>
          <w:bCs w:val="0"/>
        </w:rPr>
        <w:fldChar w:fldCharType="begin" w:fldLock="1"/>
      </w:r>
      <w:r w:rsidR="00DD21C3">
        <w:rPr>
          <w:rFonts w:ascii="Tahoma" w:hAnsi="Tahoma" w:cs="Tahoma"/>
          <w:b w:val="0"/>
          <w:bCs w:val="0"/>
        </w:rPr>
        <w:instrText>ADDIN CSL_CITATION {"citationItems":[{"id":"ITEM-1","itemData":{"DOI":"10.20944/preprints202602.1632.v1","author":[{"dropping-particle":"","family":"Basri","given":"Rabeya","non-dropping-particle":"","parse-names":false,"suffix":""},{"dropping-particle":"Al","family":"Mamun","given":"Syed Abdullah","non-dropping-particle":"","parse-names":false,"suffix":""},{"dropping-particle":"","family":"Aktar","given":"Alima","non-dropping-particle":"","parse-names":false,"suffix":""}],"container-title":"Preprints","id":"ITEM-1","issued":{"date-parts":[["2026"]]},"title":"ESG Disclosure Practices and Performance of Islamic Banks : Moderating Roles of Board Independence , Gender Diversity , and Institutional Ownership","type":"article-journal"},"uris":["http://www.mendeley.com/documents/?uuid=7725a3fe-c698-464f-b9e6-d78c2149074c"]}],"mendeley":{"formattedCitation":"(Basri et al., 2026)","plainTextFormattedCitation":"(Basri et al., 2026)","previouslyFormattedCitation":"(Basri et al., 2026)"},"properties":{"noteIndex":0},"schema":"https://github.com/citation-style-language/schema/raw/master/csl-citation.json"}</w:instrText>
      </w:r>
      <w:r w:rsidR="004C14EB">
        <w:rPr>
          <w:rFonts w:ascii="Tahoma" w:hAnsi="Tahoma" w:cs="Tahoma"/>
          <w:b w:val="0"/>
          <w:bCs w:val="0"/>
        </w:rPr>
        <w:fldChar w:fldCharType="separate"/>
      </w:r>
      <w:r w:rsidR="004C14EB" w:rsidRPr="004C14EB">
        <w:rPr>
          <w:rFonts w:ascii="Tahoma" w:hAnsi="Tahoma" w:cs="Tahoma"/>
          <w:b w:val="0"/>
          <w:bCs w:val="0"/>
          <w:noProof/>
        </w:rPr>
        <w:t>(Basri et al., 2026)</w:t>
      </w:r>
      <w:r w:rsidR="004C14EB">
        <w:rPr>
          <w:rFonts w:ascii="Tahoma" w:hAnsi="Tahoma" w:cs="Tahoma"/>
          <w:b w:val="0"/>
          <w:bCs w:val="0"/>
        </w:rPr>
        <w:fldChar w:fldCharType="end"/>
      </w:r>
      <w:r w:rsidRPr="009418E7">
        <w:rPr>
          <w:rFonts w:ascii="Tahoma" w:hAnsi="Tahoma" w:cs="Tahoma"/>
          <w:b w:val="0"/>
          <w:bCs w:val="0"/>
        </w:rPr>
        <w:t xml:space="preserve">. Within the Indonesian context, studies indicate that Islamic banks play a pivotal role in empowering MSMEs, mobilizing Islamic social finance instruments, and narrowing economic disparities </w:t>
      </w:r>
      <w:r w:rsidRPr="009418E7">
        <w:rPr>
          <w:rFonts w:ascii="Tahoma" w:hAnsi="Tahoma" w:cs="Tahoma"/>
          <w:b w:val="0"/>
          <w:bCs w:val="0"/>
        </w:rPr>
        <w:fldChar w:fldCharType="begin" w:fldLock="1"/>
      </w:r>
      <w:r w:rsidR="00F5370A">
        <w:rPr>
          <w:rFonts w:ascii="Tahoma" w:hAnsi="Tahoma" w:cs="Tahoma"/>
          <w:b w:val="0"/>
          <w:bCs w:val="0"/>
        </w:rPr>
        <w:instrText>ADDIN CSL_CITATION {"citationItems":[{"id":"ITEM-1","itemData":{"DOI":"10.58824/mediasas.v8i1.307","author":[{"dropping-particle":"","family":"Hikmah","given":"Lailatul","non-dropping-particle":"","parse-names":false,"suffix":""},{"dropping-particle":"","family":"Hafizhah","given":"Nur Zakiya","non-dropping-particle":"","parse-names":false,"suffix":""},{"dropping-particle":"","family":"Rusgianto","given":"Sulistya","non-dropping-particle":"","parse-names":false,"suffix":""}],"container-title":"Jurnal MEDIASAS: Media Ilmu Syari’ah dan Ahwal Al-Syakhsiyyah","id":"ITEM-1","issue":"1","issued":{"date-parts":[["2025"]]},"page":"111-123","title":"Islamic Banking and Economic Growth : A Case Study in Indonesia","type":"article-journal","volume":"8"},"uris":["http://www.mendeley.com/documents/?uuid=c6dc8e4e-f268-4866-8b99-c335e62d9ca6","http://www.mendeley.com/documents/?uuid=852c36ca-81af-4396-8070-bd348b0b6129"]}],"mendeley":{"formattedCitation":"(Hikmah et al., 2025)","plainTextFormattedCitation":"(Hikmah et al., 2025)","previouslyFormattedCitation":"(Hikmah et al., 2025)"},"properties":{"noteIndex":0},"schema":"https://github.com/citation-style-language/schema/raw/master/csl-citation.json"}</w:instrText>
      </w:r>
      <w:r w:rsidRPr="009418E7">
        <w:rPr>
          <w:rFonts w:ascii="Tahoma" w:hAnsi="Tahoma" w:cs="Tahoma"/>
          <w:b w:val="0"/>
          <w:bCs w:val="0"/>
        </w:rPr>
        <w:fldChar w:fldCharType="separate"/>
      </w:r>
      <w:r w:rsidRPr="009418E7">
        <w:rPr>
          <w:rFonts w:ascii="Tahoma" w:hAnsi="Tahoma" w:cs="Tahoma"/>
          <w:b w:val="0"/>
          <w:bCs w:val="0"/>
          <w:noProof/>
        </w:rPr>
        <w:t>(Hikmah et al., 2025)</w:t>
      </w:r>
      <w:r w:rsidRPr="009418E7">
        <w:rPr>
          <w:rFonts w:ascii="Tahoma" w:hAnsi="Tahoma" w:cs="Tahoma"/>
          <w:b w:val="0"/>
          <w:bCs w:val="0"/>
        </w:rPr>
        <w:fldChar w:fldCharType="end"/>
      </w:r>
      <w:r w:rsidRPr="009418E7">
        <w:rPr>
          <w:rFonts w:ascii="Tahoma" w:hAnsi="Tahoma" w:cs="Tahoma"/>
          <w:b w:val="0"/>
          <w:bCs w:val="0"/>
        </w:rPr>
        <w:t xml:space="preserve">. Despite these valuable insights, existing scholarship remains heavily skewed toward </w:t>
      </w:r>
      <w:r w:rsidR="004F002D">
        <w:rPr>
          <w:rFonts w:ascii="Tahoma" w:hAnsi="Tahoma" w:cs="Tahoma"/>
          <w:b w:val="0"/>
          <w:bCs w:val="0"/>
        </w:rPr>
        <w:t xml:space="preserve">macroeconomic contributions; it fails to comprehensively map the interplay among institutional effectiveness, execution challenges, and capacity-building strategies within an integrated framework of the </w:t>
      </w:r>
      <w:r w:rsidRPr="009418E7">
        <w:rPr>
          <w:rFonts w:ascii="Tahoma" w:hAnsi="Tahoma" w:cs="Tahoma"/>
          <w:b w:val="0"/>
          <w:bCs w:val="0"/>
        </w:rPr>
        <w:t xml:space="preserve">SDGs and </w:t>
      </w:r>
      <w:proofErr w:type="spellStart"/>
      <w:r w:rsidRPr="009418E7">
        <w:rPr>
          <w:rFonts w:ascii="Tahoma" w:hAnsi="Tahoma" w:cs="Tahoma"/>
          <w:b w:val="0"/>
          <w:bCs w:val="0"/>
          <w:i/>
          <w:iCs/>
        </w:rPr>
        <w:t>maqashid</w:t>
      </w:r>
      <w:proofErr w:type="spellEnd"/>
      <w:r w:rsidRPr="009418E7">
        <w:rPr>
          <w:rFonts w:ascii="Tahoma" w:hAnsi="Tahoma" w:cs="Tahoma"/>
          <w:b w:val="0"/>
          <w:bCs w:val="0"/>
          <w:i/>
          <w:iCs/>
        </w:rPr>
        <w:t xml:space="preserve"> al-</w:t>
      </w:r>
      <w:proofErr w:type="spellStart"/>
      <w:r w:rsidRPr="009418E7">
        <w:rPr>
          <w:rFonts w:ascii="Tahoma" w:hAnsi="Tahoma" w:cs="Tahoma"/>
          <w:b w:val="0"/>
          <w:bCs w:val="0"/>
          <w:i/>
          <w:iCs/>
        </w:rPr>
        <w:t>shari'ah</w:t>
      </w:r>
      <w:r w:rsidRPr="009418E7">
        <w:rPr>
          <w:rFonts w:ascii="Tahoma" w:hAnsi="Tahoma" w:cs="Tahoma"/>
          <w:b w:val="0"/>
          <w:bCs w:val="0"/>
        </w:rPr>
        <w:t>.</w:t>
      </w:r>
      <w:bookmarkEnd w:id="0"/>
      <w:proofErr w:type="spellEnd"/>
    </w:p>
    <w:p w14:paraId="3FBBFBFD" w14:textId="77777777" w:rsidR="005C182F" w:rsidRDefault="009418E7" w:rsidP="005C182F">
      <w:pPr>
        <w:pStyle w:val="SubTopicSubJudul"/>
        <w:spacing w:before="0"/>
        <w:ind w:firstLine="567"/>
        <w:rPr>
          <w:rFonts w:ascii="Tahoma" w:hAnsi="Tahoma" w:cs="Tahoma"/>
          <w:b w:val="0"/>
          <w:bCs w:val="0"/>
        </w:rPr>
      </w:pPr>
      <w:r w:rsidRPr="000351E6">
        <w:rPr>
          <w:rFonts w:ascii="Tahoma" w:hAnsi="Tahoma" w:cs="Tahoma"/>
          <w:b w:val="0"/>
          <w:bCs w:val="0"/>
        </w:rPr>
        <w:t>Despite</w:t>
      </w:r>
      <w:r w:rsidRPr="009418E7">
        <w:rPr>
          <w:rFonts w:ascii="Tahoma" w:hAnsi="Tahoma" w:cs="Tahoma"/>
          <w:b w:val="0"/>
          <w:bCs w:val="0"/>
        </w:rPr>
        <w:t xml:space="preserve"> the burgeoning literature on Islamic banking and sustainable development, several conspicuous research gaps persist. Foremost, conventional scholarship predominantly treats global SDGs and </w:t>
      </w:r>
      <w:proofErr w:type="spellStart"/>
      <w:r w:rsidRPr="009418E7">
        <w:rPr>
          <w:rFonts w:ascii="Tahoma" w:hAnsi="Tahoma" w:cs="Tahoma"/>
          <w:b w:val="0"/>
          <w:bCs w:val="0"/>
          <w:i/>
          <w:iCs/>
        </w:rPr>
        <w:t>maqashid</w:t>
      </w:r>
      <w:proofErr w:type="spellEnd"/>
      <w:r w:rsidRPr="009418E7">
        <w:rPr>
          <w:rFonts w:ascii="Tahoma" w:hAnsi="Tahoma" w:cs="Tahoma"/>
          <w:b w:val="0"/>
          <w:bCs w:val="0"/>
          <w:i/>
          <w:iCs/>
        </w:rPr>
        <w:t xml:space="preserve"> al-</w:t>
      </w:r>
      <w:proofErr w:type="spellStart"/>
      <w:r w:rsidRPr="009418E7">
        <w:rPr>
          <w:rFonts w:ascii="Tahoma" w:hAnsi="Tahoma" w:cs="Tahoma"/>
          <w:b w:val="0"/>
          <w:bCs w:val="0"/>
          <w:i/>
          <w:iCs/>
        </w:rPr>
        <w:t>shari'ah</w:t>
      </w:r>
      <w:proofErr w:type="spellEnd"/>
      <w:r w:rsidRPr="009418E7">
        <w:rPr>
          <w:rFonts w:ascii="Tahoma" w:hAnsi="Tahoma" w:cs="Tahoma"/>
          <w:b w:val="0"/>
          <w:bCs w:val="0"/>
        </w:rPr>
        <w:t xml:space="preserve"> as parallel analytical frameworks, thereby failing to yield an integrative operational model capable of elucidating their mutual intersection within banking practices</w:t>
      </w:r>
      <w:r w:rsidR="00DD21C3">
        <w:rPr>
          <w:rFonts w:ascii="Tahoma" w:hAnsi="Tahoma" w:cs="Tahoma"/>
          <w:b w:val="0"/>
          <w:bCs w:val="0"/>
        </w:rPr>
        <w:t xml:space="preserve"> </w:t>
      </w:r>
      <w:r w:rsidR="00DD21C3">
        <w:rPr>
          <w:rFonts w:ascii="Tahoma" w:hAnsi="Tahoma" w:cs="Tahoma"/>
          <w:b w:val="0"/>
          <w:bCs w:val="0"/>
        </w:rPr>
        <w:fldChar w:fldCharType="begin" w:fldLock="1"/>
      </w:r>
      <w:r w:rsidR="00172B7E">
        <w:rPr>
          <w:rFonts w:ascii="Tahoma" w:hAnsi="Tahoma" w:cs="Tahoma"/>
          <w:b w:val="0"/>
          <w:bCs w:val="0"/>
        </w:rPr>
        <w:instrText>ADDIN CSL_CITATION {"citationItems":[{"id":"ITEM-1","itemData":{"DOI":"10.61722/jemba.v2i6.1691","abstract":"This study examines the sinergy between Maqashid Sharia and the Sustainable Development Goals (SDGs) as a sustainable development model grounded in Islamic values. Maqashid Sharia, which emphasizes the protection of religion, life, intellect, lineage, and wealth, aligns closely with the objectives of the SDGs to promote human well-being and environmental sustainability. Using a qualitative literature review method, this research analyzes scholarly sources related to Islamic ecomonics, maqashid sharia, and sustainable development. The findings indicate that integrating Maqashid Sharia through Islamic financial instruments such as zakat, waqf, and green economy initiatives can accelerate the achievement of SDGs, particularly in reducing poverty and inequality and supporting environmental preservation.","author":[{"dropping-particle":"","family":"Rahawati","given":"Felda Tsany","non-dropping-particle":"","parse-names":false,"suffix":""},{"dropping-particle":"","family":"Floranitarifa’i","given":"Claudia Celsia","non-dropping-particle":"","parse-names":false,"suffix":""},{"dropping-particle":"","family":"Jupantoro","given":"Muhamad Maulana","non-dropping-particle":"","parse-names":false,"suffix":""},{"dropping-particle":"","family":"Pranasya","given":"Azizah Eka","non-dropping-particle":"","parse-names":false,"suffix":""},{"dropping-particle":"","family":"Hidayati","given":"Amalia Nuril","non-dropping-particle":"","parse-names":false,"suffix":""}],"container-title":"Jurnal Ilmiah Ekonomi Manajemen Bisnis dan Akuntansi","id":"ITEM-1","issue":"6","issued":{"date-parts":[["2025"]]},"page":"745-756","title":"Sinergi Maqashid Syariah dan SDGs : Model Pembangunan Berkelanjutan Berbasis Nilai-Nilai Islam","type":"article-journal","volume":"2"},"uris":["http://www.mendeley.com/documents/?uuid=a75863e0-2c64-4fa0-97d1-175ea8e6d217"]}],"mendeley":{"formattedCitation":"(Rahawati et al., 2025)","plainTextFormattedCitation":"(Rahawati et al., 2025)","previouslyFormattedCitation":"(Rahawati et al., 2025)"},"properties":{"noteIndex":0},"schema":"https://github.com/citation-style-language/schema/raw/master/csl-citation.json"}</w:instrText>
      </w:r>
      <w:r w:rsidR="00DD21C3">
        <w:rPr>
          <w:rFonts w:ascii="Tahoma" w:hAnsi="Tahoma" w:cs="Tahoma"/>
          <w:b w:val="0"/>
          <w:bCs w:val="0"/>
        </w:rPr>
        <w:fldChar w:fldCharType="separate"/>
      </w:r>
      <w:r w:rsidR="00DD21C3" w:rsidRPr="00DD21C3">
        <w:rPr>
          <w:rFonts w:ascii="Tahoma" w:hAnsi="Tahoma" w:cs="Tahoma"/>
          <w:b w:val="0"/>
          <w:bCs w:val="0"/>
          <w:noProof/>
        </w:rPr>
        <w:t>(Rahawati et al., 2025)</w:t>
      </w:r>
      <w:r w:rsidR="00DD21C3">
        <w:rPr>
          <w:rFonts w:ascii="Tahoma" w:hAnsi="Tahoma" w:cs="Tahoma"/>
          <w:b w:val="0"/>
          <w:bCs w:val="0"/>
        </w:rPr>
        <w:fldChar w:fldCharType="end"/>
      </w:r>
      <w:r w:rsidRPr="009418E7">
        <w:rPr>
          <w:rFonts w:ascii="Tahoma" w:hAnsi="Tahoma" w:cs="Tahoma"/>
          <w:b w:val="0"/>
          <w:bCs w:val="0"/>
        </w:rPr>
        <w:t xml:space="preserve">. Furthermore, empirical evaluations assessing the efficacy of Islamic banks in meeting sustainability mandates remain heavily skewed toward quantitative financial indicators; conversely, institutional nuances, regulatory dynamics, and governance dimensions have been largely overlooked </w:t>
      </w:r>
      <w:r w:rsidR="00172B7E">
        <w:rPr>
          <w:rFonts w:ascii="Tahoma" w:hAnsi="Tahoma" w:cs="Tahoma"/>
          <w:b w:val="0"/>
          <w:bCs w:val="0"/>
        </w:rPr>
        <w:fldChar w:fldCharType="begin" w:fldLock="1"/>
      </w:r>
      <w:r w:rsidR="009531B0">
        <w:rPr>
          <w:rFonts w:ascii="Tahoma" w:hAnsi="Tahoma" w:cs="Tahoma"/>
          <w:b w:val="0"/>
          <w:bCs w:val="0"/>
        </w:rPr>
        <w:instrText>ADDIN CSL_CITATION {"citationItems":[{"id":"ITEM-1","itemData":{"DOI":"10.24252/lamaisyir.v1i1.53133","abstract":"The integration of Environmental, Social, and Governance (ESG) factors in Islamic finance is methodically examined in this paper, with a focus on how Sharia rules connect with sustainability objectives. Examining the benefits and difficulties of implementing ESG principles in Islamic financial institutions is the primary goal. This study identifies important findings from recent research and examines their implications for Islamic finance using a systematic literature review (SLR) based on the PRISMA approach. According to the analysis, there are still a lot of obstacles to overcome, especially when it comes to standardized reporting and regulatory guidelines, even though ESG closely resembles Maqasid al- sharia in that it promotes social welfare and ethical governance. The findings demonstrate how increasing ESG practice transparency can boost market competitiveness, draw in socially conscious investors, and advance the Sustainable Development Goals (SDGs). The results of this study provide a conceptual framework for Islamic financial institutions looking to implement Sharia-compliant ESG practices, laying the groundwork","author":[{"dropping-particle":"","family":"Wardiman","given":"Jery","non-dropping-particle":"","parse-names":false,"suffix":""},{"dropping-particle":"","family":"Hidayat","given":"M Topit","non-dropping-particle":"","parse-names":false,"suffix":""},{"dropping-particle":"","family":"Afdal","given":"Zul","non-dropping-particle":"","parse-names":false,"suffix":""},{"dropping-particle":"","family":"Nofriansyah","given":"","non-dropping-particle":"","parse-names":false,"suffix":""}],"container-title":"Laa Maisyir: Jurnal Ekonomi Islam","id":"ITEM-1","issue":"1","issued":{"date-parts":[["2024"]]},"page":"344-363","title":"Integration of ESG ( Environmental , Social , Governance ) Criteria in Islamic Finance : A Systematic Review","type":"article-journal","volume":"1"},"uris":["http://www.mendeley.com/documents/?uuid=98f994f7-bc68-4567-9b6a-436fde409245"]}],"mendeley":{"formattedCitation":"(Wardiman et al., 2024)","plainTextFormattedCitation":"(Wardiman et al., 2024)","previouslyFormattedCitation":"(Wardiman et al., 2024)"},"properties":{"noteIndex":0},"schema":"https://github.com/citation-style-language/schema/raw/master/csl-citation.json"}</w:instrText>
      </w:r>
      <w:r w:rsidR="00172B7E">
        <w:rPr>
          <w:rFonts w:ascii="Tahoma" w:hAnsi="Tahoma" w:cs="Tahoma"/>
          <w:b w:val="0"/>
          <w:bCs w:val="0"/>
        </w:rPr>
        <w:fldChar w:fldCharType="separate"/>
      </w:r>
      <w:r w:rsidR="00172B7E" w:rsidRPr="00172B7E">
        <w:rPr>
          <w:rFonts w:ascii="Tahoma" w:hAnsi="Tahoma" w:cs="Tahoma"/>
          <w:b w:val="0"/>
          <w:bCs w:val="0"/>
          <w:noProof/>
        </w:rPr>
        <w:t>(Wardiman et al., 2024)</w:t>
      </w:r>
      <w:r w:rsidR="00172B7E">
        <w:rPr>
          <w:rFonts w:ascii="Tahoma" w:hAnsi="Tahoma" w:cs="Tahoma"/>
          <w:b w:val="0"/>
          <w:bCs w:val="0"/>
        </w:rPr>
        <w:fldChar w:fldCharType="end"/>
      </w:r>
      <w:r w:rsidRPr="009418E7">
        <w:rPr>
          <w:rFonts w:ascii="Tahoma" w:hAnsi="Tahoma" w:cs="Tahoma"/>
          <w:b w:val="0"/>
          <w:bCs w:val="0"/>
        </w:rPr>
        <w:t>. This empirical scarcity is compounded by a distinct geographical bias, as localized studies focusing on strategic sub-national territories such as the Special Region of Yogyakarta, a pivotal hub for education, creative economies, and national Islamic financial development</w:t>
      </w:r>
      <w:r w:rsidR="004F002D">
        <w:rPr>
          <w:rFonts w:ascii="Tahoma" w:hAnsi="Tahoma" w:cs="Tahoma"/>
          <w:b w:val="0"/>
          <w:bCs w:val="0"/>
        </w:rPr>
        <w:t>,</w:t>
      </w:r>
      <w:r w:rsidRPr="009418E7">
        <w:rPr>
          <w:rFonts w:ascii="Tahoma" w:hAnsi="Tahoma" w:cs="Tahoma"/>
          <w:b w:val="0"/>
          <w:bCs w:val="0"/>
        </w:rPr>
        <w:t xml:space="preserve"> remain profoundly limited. Lastly, extant research rarely encapsulates implementation challenges from the dual perspective of key stakeholders and financial regulators, resulting in a deficit of context-specific, operational frameworks. Consequently, these multi-dimensional gaps underscore the pressing need for a study that bridges the normative essence of </w:t>
      </w:r>
      <w:proofErr w:type="spellStart"/>
      <w:r w:rsidRPr="009418E7">
        <w:rPr>
          <w:rFonts w:ascii="Tahoma" w:hAnsi="Tahoma" w:cs="Tahoma"/>
          <w:b w:val="0"/>
          <w:bCs w:val="0"/>
          <w:i/>
          <w:iCs/>
        </w:rPr>
        <w:t>maqashid</w:t>
      </w:r>
      <w:proofErr w:type="spellEnd"/>
      <w:r w:rsidRPr="009418E7">
        <w:rPr>
          <w:rFonts w:ascii="Tahoma" w:hAnsi="Tahoma" w:cs="Tahoma"/>
          <w:b w:val="0"/>
          <w:bCs w:val="0"/>
          <w:i/>
          <w:iCs/>
        </w:rPr>
        <w:t xml:space="preserve"> al-</w:t>
      </w:r>
      <w:proofErr w:type="spellStart"/>
      <w:r w:rsidRPr="009418E7">
        <w:rPr>
          <w:rFonts w:ascii="Tahoma" w:hAnsi="Tahoma" w:cs="Tahoma"/>
          <w:b w:val="0"/>
          <w:bCs w:val="0"/>
          <w:i/>
          <w:iCs/>
        </w:rPr>
        <w:t>shari'ah</w:t>
      </w:r>
      <w:proofErr w:type="spellEnd"/>
      <w:r w:rsidRPr="009418E7">
        <w:rPr>
          <w:rFonts w:ascii="Tahoma" w:hAnsi="Tahoma" w:cs="Tahoma"/>
          <w:b w:val="0"/>
          <w:bCs w:val="0"/>
        </w:rPr>
        <w:t xml:space="preserve"> with measurable, localized</w:t>
      </w:r>
      <w:r w:rsidR="004F002D">
        <w:rPr>
          <w:rFonts w:ascii="Tahoma" w:hAnsi="Tahoma" w:cs="Tahoma"/>
          <w:b w:val="0"/>
          <w:bCs w:val="0"/>
        </w:rPr>
        <w:t>,</w:t>
      </w:r>
      <w:r w:rsidRPr="009418E7">
        <w:rPr>
          <w:rFonts w:ascii="Tahoma" w:hAnsi="Tahoma" w:cs="Tahoma"/>
          <w:b w:val="0"/>
          <w:bCs w:val="0"/>
        </w:rPr>
        <w:t xml:space="preserve"> sustainable development outcomes.</w:t>
      </w:r>
    </w:p>
    <w:p w14:paraId="1E47A21A" w14:textId="77777777" w:rsidR="005C182F" w:rsidRDefault="009418E7" w:rsidP="005C182F">
      <w:pPr>
        <w:pStyle w:val="SubTopicSubJudul"/>
        <w:spacing w:before="0"/>
        <w:ind w:firstLine="567"/>
        <w:rPr>
          <w:rFonts w:ascii="Tahoma" w:hAnsi="Tahoma" w:cs="Tahoma"/>
          <w:b w:val="0"/>
          <w:bCs w:val="0"/>
        </w:rPr>
      </w:pPr>
      <w:r w:rsidRPr="009418E7">
        <w:rPr>
          <w:rFonts w:ascii="Tahoma" w:hAnsi="Tahoma" w:cs="Tahoma"/>
          <w:b w:val="0"/>
          <w:bCs w:val="0"/>
        </w:rPr>
        <w:t xml:space="preserve">This study offers a dual contribution toward conceptual and operational advancements in the literature. Conceptually, it constructs a robust, </w:t>
      </w:r>
      <w:proofErr w:type="spellStart"/>
      <w:r w:rsidRPr="009418E7">
        <w:rPr>
          <w:rFonts w:ascii="Tahoma" w:hAnsi="Tahoma" w:cs="Tahoma"/>
          <w:b w:val="0"/>
          <w:bCs w:val="0"/>
          <w:i/>
          <w:iCs/>
        </w:rPr>
        <w:t>maqashid</w:t>
      </w:r>
      <w:proofErr w:type="spellEnd"/>
      <w:r w:rsidRPr="009418E7">
        <w:rPr>
          <w:rFonts w:ascii="Tahoma" w:hAnsi="Tahoma" w:cs="Tahoma"/>
          <w:b w:val="0"/>
          <w:bCs w:val="0"/>
        </w:rPr>
        <w:t xml:space="preserve">-based strategic framework that seamlessly integrates the </w:t>
      </w:r>
      <w:r w:rsidR="004F002D">
        <w:rPr>
          <w:rFonts w:ascii="Tahoma" w:hAnsi="Tahoma" w:cs="Tahoma"/>
          <w:b w:val="0"/>
          <w:bCs w:val="0"/>
        </w:rPr>
        <w:t>multidimensional facets of institutional roles, effectiveness, execution challenges, and capacity-building in Islamic banking to accelerate SDG</w:t>
      </w:r>
      <w:r w:rsidRPr="009418E7">
        <w:rPr>
          <w:rFonts w:ascii="Tahoma" w:hAnsi="Tahoma" w:cs="Tahoma"/>
          <w:b w:val="0"/>
          <w:bCs w:val="0"/>
        </w:rPr>
        <w:t xml:space="preserve"> attainment. In distinct contrast to embryonic scholarship</w:t>
      </w:r>
      <w:r w:rsidR="004F002D">
        <w:rPr>
          <w:rFonts w:ascii="Tahoma" w:hAnsi="Tahoma" w:cs="Tahoma"/>
          <w:b w:val="0"/>
          <w:bCs w:val="0"/>
        </w:rPr>
        <w:t>, which conventionally confines its scope to measuring isolated impacts of Sharia financing on specific development indicators,</w:t>
      </w:r>
      <w:r w:rsidRPr="009418E7">
        <w:rPr>
          <w:rFonts w:ascii="Tahoma" w:hAnsi="Tahoma" w:cs="Tahoma"/>
          <w:b w:val="0"/>
          <w:bCs w:val="0"/>
        </w:rPr>
        <w:t xml:space="preserve"> this research positions </w:t>
      </w:r>
      <w:proofErr w:type="spellStart"/>
      <w:r w:rsidRPr="009418E7">
        <w:rPr>
          <w:rFonts w:ascii="Tahoma" w:hAnsi="Tahoma" w:cs="Tahoma"/>
          <w:b w:val="0"/>
          <w:bCs w:val="0"/>
          <w:i/>
          <w:iCs/>
        </w:rPr>
        <w:t>maqashid</w:t>
      </w:r>
      <w:proofErr w:type="spellEnd"/>
      <w:r w:rsidRPr="009418E7">
        <w:rPr>
          <w:rFonts w:ascii="Tahoma" w:hAnsi="Tahoma" w:cs="Tahoma"/>
          <w:b w:val="0"/>
          <w:bCs w:val="0"/>
          <w:i/>
          <w:iCs/>
        </w:rPr>
        <w:t xml:space="preserve"> al-</w:t>
      </w:r>
      <w:proofErr w:type="spellStart"/>
      <w:r w:rsidRPr="009418E7">
        <w:rPr>
          <w:rFonts w:ascii="Tahoma" w:hAnsi="Tahoma" w:cs="Tahoma"/>
          <w:b w:val="0"/>
          <w:bCs w:val="0"/>
          <w:i/>
          <w:iCs/>
        </w:rPr>
        <w:t>shari'ah</w:t>
      </w:r>
      <w:proofErr w:type="spellEnd"/>
      <w:r w:rsidRPr="009418E7">
        <w:rPr>
          <w:rFonts w:ascii="Tahoma" w:hAnsi="Tahoma" w:cs="Tahoma"/>
          <w:b w:val="0"/>
          <w:bCs w:val="0"/>
        </w:rPr>
        <w:t xml:space="preserve"> not merely as a passive evaluative lens, but as an active, structural instrument for institutional strategy formulation.</w:t>
      </w:r>
    </w:p>
    <w:p w14:paraId="24A0CD79" w14:textId="77777777" w:rsidR="005C182F" w:rsidRDefault="009418E7" w:rsidP="005C182F">
      <w:pPr>
        <w:pStyle w:val="SubTopicSubJudul"/>
        <w:spacing w:before="0"/>
        <w:ind w:firstLine="567"/>
        <w:rPr>
          <w:rFonts w:ascii="Tahoma" w:hAnsi="Tahoma" w:cs="Tahoma"/>
          <w:b w:val="0"/>
          <w:bCs w:val="0"/>
        </w:rPr>
      </w:pPr>
      <w:r w:rsidRPr="009418E7">
        <w:rPr>
          <w:rFonts w:ascii="Tahoma" w:hAnsi="Tahoma" w:cs="Tahoma"/>
          <w:b w:val="0"/>
          <w:bCs w:val="0"/>
        </w:rPr>
        <w:t xml:space="preserve">Operationally, this research employs a localized case study design focusing on the Special Region of Yogyakarta to construct an empirical mapping of Islamic banking contributions across five critical sustainability dimensions: SDGs 1 (No Poverty), SDGs 2 (Zero Hunger), SDGs 3 (Good Health and Well-being), SDGs 8 (Decent Work and </w:t>
      </w:r>
      <w:r w:rsidRPr="009418E7">
        <w:rPr>
          <w:rFonts w:ascii="Tahoma" w:hAnsi="Tahoma" w:cs="Tahoma"/>
          <w:b w:val="0"/>
          <w:bCs w:val="0"/>
        </w:rPr>
        <w:lastRenderedPageBreak/>
        <w:t>Economic Growth), and SDGs 12 (Responsible Consumption and Production). Moving beyond purely descriptive accounts of current institutional practices, the inquiry synthesizes these empirical findings to construct a forward-looking strategic model. Ultimately, this output is projected to serve as a pivotal policy benchmark for structural development within the Islamic financial sector, applicable at both regional and national echelons.</w:t>
      </w:r>
    </w:p>
    <w:p w14:paraId="3078B668" w14:textId="6E1B33D8" w:rsidR="009418E7" w:rsidRPr="005D7FE9" w:rsidRDefault="009418E7" w:rsidP="005C182F">
      <w:pPr>
        <w:pStyle w:val="SubTopicSubJudul"/>
        <w:spacing w:before="0"/>
        <w:ind w:firstLine="567"/>
        <w:rPr>
          <w:rFonts w:ascii="Tahoma" w:hAnsi="Tahoma" w:cs="Tahoma"/>
          <w:b w:val="0"/>
          <w:bCs w:val="0"/>
        </w:rPr>
      </w:pPr>
      <w:r w:rsidRPr="009418E7">
        <w:rPr>
          <w:rFonts w:ascii="Tahoma" w:hAnsi="Tahoma" w:cs="Tahoma"/>
          <w:b w:val="0"/>
          <w:bCs w:val="0"/>
        </w:rPr>
        <w:t xml:space="preserve">Grounded in the aforementioned background, this study evaluates the strategic role of Islamic banking institutions in driving the Sustainable Development Goals (SDGs) within the Special Region of Yogyakarta. Specifically, it assesses the efficacy of their developmental contributions, </w:t>
      </w:r>
      <w:r w:rsidR="004F002D">
        <w:rPr>
          <w:rFonts w:ascii="Tahoma" w:hAnsi="Tahoma" w:cs="Tahoma"/>
          <w:b w:val="0"/>
          <w:bCs w:val="0"/>
        </w:rPr>
        <w:t xml:space="preserve">identifies operational challenges encountered during implementation, and formulates a robust, </w:t>
      </w:r>
      <w:proofErr w:type="spellStart"/>
      <w:r w:rsidR="004F002D">
        <w:rPr>
          <w:rFonts w:ascii="Tahoma" w:hAnsi="Tahoma" w:cs="Tahoma"/>
          <w:b w:val="0"/>
          <w:bCs w:val="0"/>
        </w:rPr>
        <w:t>maqashid</w:t>
      </w:r>
      <w:proofErr w:type="spellEnd"/>
      <w:r w:rsidR="004F002D">
        <w:rPr>
          <w:rFonts w:ascii="Tahoma" w:hAnsi="Tahoma" w:cs="Tahoma"/>
          <w:b w:val="0"/>
          <w:bCs w:val="0"/>
        </w:rPr>
        <w:t>-based strategic framework to optimize the sector's long-term sustainability</w:t>
      </w:r>
      <w:r w:rsidRPr="009418E7">
        <w:rPr>
          <w:rFonts w:ascii="Tahoma" w:hAnsi="Tahoma" w:cs="Tahoma"/>
          <w:b w:val="0"/>
          <w:bCs w:val="0"/>
        </w:rPr>
        <w:t xml:space="preserve">. To achieve these systematic objectives, the inquiry addresses four interconnected research questions: (1) How do Islamic banking entities support SDGs realization in the Special Region of Yogyakarta? (2) To what extent are these institutional contributions effective in generating measurable sustainability impacts? (3) What structural bottlenecks impede their operational execution? </w:t>
      </w:r>
      <w:r w:rsidR="004F002D">
        <w:rPr>
          <w:rFonts w:ascii="Tahoma" w:hAnsi="Tahoma" w:cs="Tahoma"/>
          <w:b w:val="0"/>
          <w:bCs w:val="0"/>
        </w:rPr>
        <w:t>Furthermore,</w:t>
      </w:r>
      <w:r w:rsidRPr="009418E7">
        <w:rPr>
          <w:rFonts w:ascii="Tahoma" w:hAnsi="Tahoma" w:cs="Tahoma"/>
          <w:b w:val="0"/>
          <w:bCs w:val="0"/>
        </w:rPr>
        <w:t xml:space="preserve"> (4) How can a strategic framework </w:t>
      </w:r>
      <w:proofErr w:type="gramStart"/>
      <w:r w:rsidRPr="009418E7">
        <w:rPr>
          <w:rFonts w:ascii="Tahoma" w:hAnsi="Tahoma" w:cs="Tahoma"/>
          <w:b w:val="0"/>
          <w:bCs w:val="0"/>
        </w:rPr>
        <w:t>anchored</w:t>
      </w:r>
      <w:proofErr w:type="gramEnd"/>
      <w:r w:rsidRPr="009418E7">
        <w:rPr>
          <w:rFonts w:ascii="Tahoma" w:hAnsi="Tahoma" w:cs="Tahoma"/>
          <w:b w:val="0"/>
          <w:bCs w:val="0"/>
        </w:rPr>
        <w:t xml:space="preserve"> in </w:t>
      </w:r>
      <w:proofErr w:type="spellStart"/>
      <w:r w:rsidRPr="009418E7">
        <w:rPr>
          <w:rFonts w:ascii="Tahoma" w:hAnsi="Tahoma" w:cs="Tahoma"/>
          <w:b w:val="0"/>
          <w:bCs w:val="0"/>
          <w:i/>
          <w:iCs/>
        </w:rPr>
        <w:t>maqashid</w:t>
      </w:r>
      <w:proofErr w:type="spellEnd"/>
      <w:r w:rsidRPr="009418E7">
        <w:rPr>
          <w:rFonts w:ascii="Tahoma" w:hAnsi="Tahoma" w:cs="Tahoma"/>
          <w:b w:val="0"/>
          <w:bCs w:val="0"/>
          <w:i/>
          <w:iCs/>
        </w:rPr>
        <w:t xml:space="preserve"> al-</w:t>
      </w:r>
      <w:proofErr w:type="spellStart"/>
      <w:r w:rsidRPr="009418E7">
        <w:rPr>
          <w:rFonts w:ascii="Tahoma" w:hAnsi="Tahoma" w:cs="Tahoma"/>
          <w:b w:val="0"/>
          <w:bCs w:val="0"/>
          <w:i/>
          <w:iCs/>
        </w:rPr>
        <w:t>shari'ah</w:t>
      </w:r>
      <w:proofErr w:type="spellEnd"/>
      <w:r w:rsidRPr="009418E7">
        <w:rPr>
          <w:rFonts w:ascii="Tahoma" w:hAnsi="Tahoma" w:cs="Tahoma"/>
          <w:b w:val="0"/>
          <w:bCs w:val="0"/>
        </w:rPr>
        <w:t xml:space="preserve"> be designed to fortify the sector's long-term alignment with the national sustainable development agenda?</w:t>
      </w:r>
    </w:p>
    <w:p w14:paraId="6DD9AAE5" w14:textId="4F088DF3" w:rsidR="00ED66EF" w:rsidRPr="005D7FE9" w:rsidRDefault="00ED66EF" w:rsidP="00697671">
      <w:pPr>
        <w:pStyle w:val="BodyText"/>
        <w:spacing w:before="240" w:line="276" w:lineRule="auto"/>
        <w:ind w:right="38"/>
        <w:contextualSpacing/>
        <w:jc w:val="both"/>
        <w:rPr>
          <w:rFonts w:ascii="Tahoma" w:hAnsi="Tahoma" w:cs="Tahoma"/>
          <w:b/>
          <w:bCs/>
          <w:sz w:val="22"/>
          <w:szCs w:val="22"/>
        </w:rPr>
      </w:pPr>
      <w:r w:rsidRPr="005D7FE9">
        <w:rPr>
          <w:rFonts w:ascii="Tahoma" w:hAnsi="Tahoma" w:cs="Tahoma"/>
          <w:b/>
          <w:bCs/>
          <w:sz w:val="22"/>
          <w:szCs w:val="22"/>
        </w:rPr>
        <w:t>Literature Review</w:t>
      </w:r>
    </w:p>
    <w:p w14:paraId="527E0CF3" w14:textId="5529507D" w:rsidR="00ED66EF" w:rsidRPr="005D7FE9" w:rsidRDefault="004F1A61" w:rsidP="00D529A3">
      <w:pPr>
        <w:pStyle w:val="BodyText"/>
        <w:spacing w:after="0"/>
        <w:ind w:right="38"/>
        <w:contextualSpacing/>
        <w:jc w:val="both"/>
        <w:rPr>
          <w:rFonts w:ascii="Tahoma" w:hAnsi="Tahoma" w:cs="Tahoma"/>
          <w:b/>
          <w:bCs/>
          <w:sz w:val="22"/>
          <w:szCs w:val="22"/>
        </w:rPr>
      </w:pPr>
      <w:proofErr w:type="spellStart"/>
      <w:r w:rsidRPr="004F1A61">
        <w:rPr>
          <w:rFonts w:ascii="Tahoma" w:hAnsi="Tahoma" w:cs="Tahoma"/>
          <w:b/>
          <w:bCs/>
          <w:sz w:val="22"/>
          <w:szCs w:val="22"/>
        </w:rPr>
        <w:t>Maqashid</w:t>
      </w:r>
      <w:proofErr w:type="spellEnd"/>
      <w:r w:rsidRPr="004F1A61">
        <w:rPr>
          <w:rFonts w:ascii="Tahoma" w:hAnsi="Tahoma" w:cs="Tahoma"/>
          <w:b/>
          <w:bCs/>
          <w:sz w:val="22"/>
          <w:szCs w:val="22"/>
        </w:rPr>
        <w:t xml:space="preserve"> al-</w:t>
      </w:r>
      <w:proofErr w:type="spellStart"/>
      <w:r w:rsidRPr="004F1A61">
        <w:rPr>
          <w:rFonts w:ascii="Tahoma" w:hAnsi="Tahoma" w:cs="Tahoma"/>
          <w:b/>
          <w:bCs/>
          <w:sz w:val="22"/>
          <w:szCs w:val="22"/>
        </w:rPr>
        <w:t>Shari'ah</w:t>
      </w:r>
      <w:proofErr w:type="spellEnd"/>
      <w:r w:rsidRPr="004F1A61">
        <w:rPr>
          <w:rFonts w:ascii="Tahoma" w:hAnsi="Tahoma" w:cs="Tahoma"/>
          <w:b/>
          <w:bCs/>
          <w:sz w:val="22"/>
          <w:szCs w:val="22"/>
        </w:rPr>
        <w:t xml:space="preserve"> as a Strategic Evaluation Framework for Sustainable Development</w:t>
      </w:r>
    </w:p>
    <w:p w14:paraId="571F36A9" w14:textId="77777777" w:rsidR="005C182F" w:rsidRDefault="00A01A40" w:rsidP="005C182F">
      <w:pPr>
        <w:spacing w:line="276" w:lineRule="auto"/>
        <w:ind w:firstLine="567"/>
        <w:contextualSpacing/>
        <w:jc w:val="both"/>
        <w:rPr>
          <w:rFonts w:ascii="Tahoma" w:hAnsi="Tahoma" w:cs="Tahoma"/>
          <w:sz w:val="22"/>
          <w:szCs w:val="22"/>
        </w:rPr>
      </w:pPr>
      <w:r w:rsidRPr="00A01A40">
        <w:rPr>
          <w:rFonts w:ascii="Tahoma" w:hAnsi="Tahoma" w:cs="Tahoma"/>
          <w:sz w:val="22"/>
          <w:szCs w:val="22"/>
        </w:rPr>
        <w:t>T</w:t>
      </w:r>
      <w:r w:rsidR="00FD2240" w:rsidRPr="00A01A40">
        <w:rPr>
          <w:rFonts w:ascii="Tahoma" w:hAnsi="Tahoma" w:cs="Tahoma"/>
          <w:sz w:val="22"/>
          <w:szCs w:val="22"/>
        </w:rPr>
        <w:t>he structural transformation of the global financial architecture toward sustainable development necessitates a profound theoretical and practical repositioning within the Islamic social finance sector. Within the paradigm of Islamic Economic Law (</w:t>
      </w:r>
      <w:proofErr w:type="spellStart"/>
      <w:r w:rsidR="00FD2240" w:rsidRPr="00A01A40">
        <w:rPr>
          <w:rFonts w:ascii="Tahoma" w:hAnsi="Tahoma" w:cs="Tahoma"/>
          <w:i/>
          <w:iCs/>
          <w:sz w:val="22"/>
          <w:szCs w:val="22"/>
        </w:rPr>
        <w:t>Muamalah</w:t>
      </w:r>
      <w:proofErr w:type="spellEnd"/>
      <w:r w:rsidR="00FD2240" w:rsidRPr="00A01A40">
        <w:rPr>
          <w:rFonts w:ascii="Tahoma" w:hAnsi="Tahoma" w:cs="Tahoma"/>
          <w:sz w:val="22"/>
          <w:szCs w:val="22"/>
        </w:rPr>
        <w:t xml:space="preserve">), the convergence between the United Nations Sustainable Development Goals (SDGs) and Islamic tenets has transcended mere passive, parallel alignment; instead, it has evolved into a baseline operational necessity. Recent scholarly discourse highlights that </w:t>
      </w:r>
      <w:proofErr w:type="spellStart"/>
      <w:r w:rsidR="00FD2240" w:rsidRPr="00A01A40">
        <w:rPr>
          <w:rFonts w:ascii="Tahoma" w:hAnsi="Tahoma" w:cs="Tahoma"/>
          <w:i/>
          <w:iCs/>
          <w:sz w:val="22"/>
          <w:szCs w:val="22"/>
        </w:rPr>
        <w:t>maqashid</w:t>
      </w:r>
      <w:proofErr w:type="spellEnd"/>
      <w:r w:rsidR="00FD2240" w:rsidRPr="00A01A40">
        <w:rPr>
          <w:rFonts w:ascii="Tahoma" w:hAnsi="Tahoma" w:cs="Tahoma"/>
          <w:i/>
          <w:iCs/>
          <w:sz w:val="22"/>
          <w:szCs w:val="22"/>
        </w:rPr>
        <w:t xml:space="preserve"> al-</w:t>
      </w:r>
      <w:proofErr w:type="spellStart"/>
      <w:r w:rsidR="00FD2240" w:rsidRPr="00A01A40">
        <w:rPr>
          <w:rFonts w:ascii="Tahoma" w:hAnsi="Tahoma" w:cs="Tahoma"/>
          <w:i/>
          <w:iCs/>
          <w:sz w:val="22"/>
          <w:szCs w:val="22"/>
        </w:rPr>
        <w:t>shari'ah</w:t>
      </w:r>
      <w:proofErr w:type="spellEnd"/>
      <w:r w:rsidR="00FD2240" w:rsidRPr="00A01A40">
        <w:rPr>
          <w:rFonts w:ascii="Tahoma" w:hAnsi="Tahoma" w:cs="Tahoma"/>
          <w:sz w:val="22"/>
          <w:szCs w:val="22"/>
        </w:rPr>
        <w:t xml:space="preserve"> (the objectives of Islamic law) no longer functions merely as a static ethical or moral compass. Rather, it has transformed into an active developmental framework explicitly oriented toward safeguarding faith (</w:t>
      </w:r>
      <w:r w:rsidR="00FD2240" w:rsidRPr="00A01A40">
        <w:rPr>
          <w:rFonts w:ascii="Tahoma" w:hAnsi="Tahoma" w:cs="Tahoma"/>
          <w:i/>
          <w:iCs/>
          <w:sz w:val="22"/>
          <w:szCs w:val="22"/>
        </w:rPr>
        <w:t>din</w:t>
      </w:r>
      <w:r w:rsidR="00FD2240" w:rsidRPr="00A01A40">
        <w:rPr>
          <w:rFonts w:ascii="Tahoma" w:hAnsi="Tahoma" w:cs="Tahoma"/>
          <w:sz w:val="22"/>
          <w:szCs w:val="22"/>
        </w:rPr>
        <w:t>), life (</w:t>
      </w:r>
      <w:proofErr w:type="spellStart"/>
      <w:r w:rsidR="00FD2240" w:rsidRPr="00A01A40">
        <w:rPr>
          <w:rFonts w:ascii="Tahoma" w:hAnsi="Tahoma" w:cs="Tahoma"/>
          <w:i/>
          <w:iCs/>
          <w:sz w:val="22"/>
          <w:szCs w:val="22"/>
        </w:rPr>
        <w:t>nafs</w:t>
      </w:r>
      <w:proofErr w:type="spellEnd"/>
      <w:r w:rsidR="00FD2240" w:rsidRPr="00A01A40">
        <w:rPr>
          <w:rFonts w:ascii="Tahoma" w:hAnsi="Tahoma" w:cs="Tahoma"/>
          <w:sz w:val="22"/>
          <w:szCs w:val="22"/>
        </w:rPr>
        <w:t>), intellect (</w:t>
      </w:r>
      <w:proofErr w:type="spellStart"/>
      <w:r w:rsidR="00FD2240" w:rsidRPr="00A01A40">
        <w:rPr>
          <w:rFonts w:ascii="Tahoma" w:hAnsi="Tahoma" w:cs="Tahoma"/>
          <w:i/>
          <w:iCs/>
          <w:sz w:val="22"/>
          <w:szCs w:val="22"/>
        </w:rPr>
        <w:t>aql</w:t>
      </w:r>
      <w:proofErr w:type="spellEnd"/>
      <w:r w:rsidR="00FD2240" w:rsidRPr="00A01A40">
        <w:rPr>
          <w:rFonts w:ascii="Tahoma" w:hAnsi="Tahoma" w:cs="Tahoma"/>
          <w:sz w:val="22"/>
          <w:szCs w:val="22"/>
        </w:rPr>
        <w:t>), posterity (</w:t>
      </w:r>
      <w:proofErr w:type="spellStart"/>
      <w:r w:rsidR="00FD2240" w:rsidRPr="00A01A40">
        <w:rPr>
          <w:rFonts w:ascii="Tahoma" w:hAnsi="Tahoma" w:cs="Tahoma"/>
          <w:i/>
          <w:iCs/>
          <w:sz w:val="22"/>
          <w:szCs w:val="22"/>
        </w:rPr>
        <w:t>nasl</w:t>
      </w:r>
      <w:proofErr w:type="spellEnd"/>
      <w:r w:rsidR="00FD2240" w:rsidRPr="00A01A40">
        <w:rPr>
          <w:rFonts w:ascii="Tahoma" w:hAnsi="Tahoma" w:cs="Tahoma"/>
          <w:sz w:val="22"/>
          <w:szCs w:val="22"/>
        </w:rPr>
        <w:t>), and wealth (</w:t>
      </w:r>
      <w:r w:rsidR="00FD2240" w:rsidRPr="00A01A40">
        <w:rPr>
          <w:rFonts w:ascii="Tahoma" w:hAnsi="Tahoma" w:cs="Tahoma"/>
          <w:i/>
          <w:iCs/>
          <w:sz w:val="22"/>
          <w:szCs w:val="22"/>
        </w:rPr>
        <w:t>mal</w:t>
      </w:r>
      <w:r w:rsidR="00FD2240" w:rsidRPr="00A01A40">
        <w:rPr>
          <w:rFonts w:ascii="Tahoma" w:hAnsi="Tahoma" w:cs="Tahoma"/>
          <w:sz w:val="22"/>
          <w:szCs w:val="22"/>
        </w:rPr>
        <w:t xml:space="preserve">) </w:t>
      </w:r>
      <w:r w:rsidR="009531B0">
        <w:rPr>
          <w:rFonts w:ascii="Tahoma" w:hAnsi="Tahoma" w:cs="Tahoma"/>
          <w:sz w:val="22"/>
          <w:szCs w:val="22"/>
        </w:rPr>
        <w:fldChar w:fldCharType="begin" w:fldLock="1"/>
      </w:r>
      <w:r w:rsidR="00FD00FC">
        <w:rPr>
          <w:rFonts w:ascii="Tahoma" w:hAnsi="Tahoma" w:cs="Tahoma"/>
          <w:sz w:val="22"/>
          <w:szCs w:val="22"/>
        </w:rPr>
        <w:instrText>ADDIN CSL_CITATION {"citationItems":[{"id":"ITEM-1","itemData":{"DOI":"10.61722/jemba.v2i6.1691","abstract":"This study examines the sinergy between Maqashid Sharia and the Sustainable Development Goals (SDGs) as a sustainable development model grounded in Islamic values. Maqashid Sharia, which emphasizes the protection of religion, life, intellect, lineage, and wealth, aligns closely with the objectives of the SDGs to promote human well-being and environmental sustainability. Using a qualitative literature review method, this research analyzes scholarly sources related to Islamic ecomonics, maqashid sharia, and sustainable development. The findings indicate that integrating Maqashid Sharia through Islamic financial instruments such as zakat, waqf, and green economy initiatives can accelerate the achievement of SDGs, particularly in reducing poverty and inequality and supporting environmental preservation.","author":[{"dropping-particle":"","family":"Rahawati","given":"Felda Tsany","non-dropping-particle":"","parse-names":false,"suffix":""},{"dropping-particle":"","family":"Floranitarifa’i","given":"Claudia Celsia","non-dropping-particle":"","parse-names":false,"suffix":""},{"dropping-particle":"","family":"Jupantoro","given":"Muhamad Maulana","non-dropping-particle":"","parse-names":false,"suffix":""},{"dropping-particle":"","family":"Pranasya","given":"Azizah Eka","non-dropping-particle":"","parse-names":false,"suffix":""},{"dropping-particle":"","family":"Hidayati","given":"Amalia Nuril","non-dropping-particle":"","parse-names":false,"suffix":""}],"container-title":"Jurnal Ilmiah Ekonomi Manajemen Bisnis dan Akuntansi","id":"ITEM-1","issue":"6","issued":{"date-parts":[["2025"]]},"page":"745-756","title":"Sinergi Maqashid Syariah dan SDGs : Model Pembangunan Berkelanjutan Berbasis Nilai-Nilai Islam","type":"article-journal","volume":"2"},"uris":["http://www.mendeley.com/documents/?uuid=a75863e0-2c64-4fa0-97d1-175ea8e6d217"]}],"mendeley":{"formattedCitation":"(Rahawati et al., 2025)","plainTextFormattedCitation":"(Rahawati et al., 2025)","previouslyFormattedCitation":"(Rahawati et al., 2025)"},"properties":{"noteIndex":0},"schema":"https://github.com/citation-style-language/schema/raw/master/csl-citation.json"}</w:instrText>
      </w:r>
      <w:r w:rsidR="009531B0">
        <w:rPr>
          <w:rFonts w:ascii="Tahoma" w:hAnsi="Tahoma" w:cs="Tahoma"/>
          <w:sz w:val="22"/>
          <w:szCs w:val="22"/>
        </w:rPr>
        <w:fldChar w:fldCharType="separate"/>
      </w:r>
      <w:r w:rsidR="009531B0" w:rsidRPr="009531B0">
        <w:rPr>
          <w:rFonts w:ascii="Tahoma" w:hAnsi="Tahoma" w:cs="Tahoma"/>
          <w:noProof/>
          <w:sz w:val="22"/>
          <w:szCs w:val="22"/>
        </w:rPr>
        <w:t>(Rahawati et al., 2025)</w:t>
      </w:r>
      <w:r w:rsidR="009531B0">
        <w:rPr>
          <w:rFonts w:ascii="Tahoma" w:hAnsi="Tahoma" w:cs="Tahoma"/>
          <w:sz w:val="22"/>
          <w:szCs w:val="22"/>
        </w:rPr>
        <w:fldChar w:fldCharType="end"/>
      </w:r>
      <w:r w:rsidR="009531B0">
        <w:rPr>
          <w:rFonts w:ascii="Tahoma" w:hAnsi="Tahoma" w:cs="Tahoma"/>
          <w:sz w:val="22"/>
          <w:szCs w:val="22"/>
        </w:rPr>
        <w:t>.</w:t>
      </w:r>
    </w:p>
    <w:p w14:paraId="7D7B125A" w14:textId="7F32B38D" w:rsidR="00FD2240" w:rsidRPr="00A01A40" w:rsidRDefault="00FD2240" w:rsidP="005C182F">
      <w:pPr>
        <w:spacing w:line="276" w:lineRule="auto"/>
        <w:ind w:firstLine="567"/>
        <w:contextualSpacing/>
        <w:jc w:val="both"/>
        <w:rPr>
          <w:rFonts w:ascii="Tahoma" w:hAnsi="Tahoma" w:cs="Tahoma"/>
          <w:sz w:val="22"/>
          <w:szCs w:val="22"/>
        </w:rPr>
      </w:pPr>
      <w:r w:rsidRPr="00A01A40">
        <w:rPr>
          <w:rFonts w:ascii="Tahoma" w:hAnsi="Tahoma" w:cs="Tahoma"/>
          <w:sz w:val="22"/>
          <w:szCs w:val="22"/>
        </w:rPr>
        <w:t>Through this analytical lens, Islamic banking institutions are strongly urged to transcend mechanical, form-over-substance compliance (</w:t>
      </w:r>
      <w:r w:rsidRPr="00A01A40">
        <w:rPr>
          <w:rFonts w:ascii="Tahoma" w:hAnsi="Tahoma" w:cs="Tahoma"/>
          <w:i/>
          <w:iCs/>
          <w:sz w:val="22"/>
          <w:szCs w:val="22"/>
        </w:rPr>
        <w:t>shariah-compliant</w:t>
      </w:r>
      <w:r w:rsidRPr="00A01A40">
        <w:rPr>
          <w:rFonts w:ascii="Tahoma" w:hAnsi="Tahoma" w:cs="Tahoma"/>
          <w:sz w:val="22"/>
          <w:szCs w:val="22"/>
        </w:rPr>
        <w:t>) and embrace a value-driven paradigm that yields measurable socio-economic impacts (</w:t>
      </w:r>
      <w:r w:rsidRPr="00A01A40">
        <w:rPr>
          <w:rFonts w:ascii="Tahoma" w:hAnsi="Tahoma" w:cs="Tahoma"/>
          <w:i/>
          <w:iCs/>
          <w:sz w:val="22"/>
          <w:szCs w:val="22"/>
        </w:rPr>
        <w:t>shariah-based</w:t>
      </w:r>
      <w:r w:rsidRPr="00A01A40">
        <w:rPr>
          <w:rFonts w:ascii="Tahoma" w:hAnsi="Tahoma" w:cs="Tahoma"/>
          <w:sz w:val="22"/>
          <w:szCs w:val="22"/>
        </w:rPr>
        <w:t xml:space="preserve">). This integrative nexus is crucial; </w:t>
      </w:r>
      <w:proofErr w:type="spellStart"/>
      <w:r w:rsidRPr="00A01A40">
        <w:rPr>
          <w:rFonts w:ascii="Tahoma" w:hAnsi="Tahoma" w:cs="Tahoma"/>
          <w:i/>
          <w:iCs/>
          <w:sz w:val="22"/>
          <w:szCs w:val="22"/>
        </w:rPr>
        <w:t>maqashid</w:t>
      </w:r>
      <w:proofErr w:type="spellEnd"/>
      <w:r w:rsidRPr="00A01A40">
        <w:rPr>
          <w:rFonts w:ascii="Tahoma" w:hAnsi="Tahoma" w:cs="Tahoma"/>
          <w:i/>
          <w:iCs/>
          <w:sz w:val="22"/>
          <w:szCs w:val="22"/>
        </w:rPr>
        <w:t xml:space="preserve"> al-</w:t>
      </w:r>
      <w:proofErr w:type="spellStart"/>
      <w:r w:rsidRPr="00A01A40">
        <w:rPr>
          <w:rFonts w:ascii="Tahoma" w:hAnsi="Tahoma" w:cs="Tahoma"/>
          <w:i/>
          <w:iCs/>
          <w:sz w:val="22"/>
          <w:szCs w:val="22"/>
        </w:rPr>
        <w:t>shari'ah</w:t>
      </w:r>
      <w:proofErr w:type="spellEnd"/>
      <w:r w:rsidRPr="00A01A40">
        <w:rPr>
          <w:rFonts w:ascii="Tahoma" w:hAnsi="Tahoma" w:cs="Tahoma"/>
          <w:sz w:val="22"/>
          <w:szCs w:val="22"/>
        </w:rPr>
        <w:t xml:space="preserve"> provides the theological legitimacy necessary for Sharia-compliant banks to re-engineer their commercial mandates into active instruments for poverty alleviation and wealth redistribution. Consequently, the convergence of these frameworks reshapes corporate objectives from mere asset-backed financing into a holistic mechanism for closing deep-seated social disparities </w:t>
      </w:r>
      <w:r w:rsidR="00FD00FC">
        <w:rPr>
          <w:rFonts w:ascii="Tahoma" w:hAnsi="Tahoma" w:cs="Tahoma"/>
          <w:sz w:val="22"/>
          <w:szCs w:val="22"/>
        </w:rPr>
        <w:fldChar w:fldCharType="begin" w:fldLock="1"/>
      </w:r>
      <w:r w:rsidR="00C07931">
        <w:rPr>
          <w:rFonts w:ascii="Tahoma" w:hAnsi="Tahoma" w:cs="Tahoma"/>
          <w:sz w:val="22"/>
          <w:szCs w:val="22"/>
        </w:rPr>
        <w:instrText>ADDIN CSL_CITATION {"citationItems":[{"id":"ITEM-1","itemData":{"DOI":"10.14414/jbb.v9i2.1834","author":[{"dropping-particle":"","family":"Sari","given":"Kartika","non-dropping-particle":"","parse-names":false,"suffix":""},{"dropping-particle":"","family":"Ismail","given":"Munawar","non-dropping-particle":"","parse-names":false,"suffix":""},{"dropping-particle":"","family":"Ekawaty","given":"Marlina","non-dropping-particle":"","parse-names":false,"suffix":""}],"container-title":"Journal of Business and Banking","id":"ITEM-1","issue":"2","issued":{"date-parts":[["2020"]]},"page":"179-196","title":"Bank Syariah : peran sosial dalam kerangka maqashid syariah dan profitabilitas di negara Qatar dan Indonesia","type":"article-journal","volume":"9"},"uris":["http://www.mendeley.com/documents/?uuid=ee514fc8-81d8-4d18-bde5-7127855e6be3"]}],"mendeley":{"formattedCitation":"(K. Sari et al., 2020)","manualFormatting":"(Sari et al., 2020)","plainTextFormattedCitation":"(K. Sari et al., 2020)","previouslyFormattedCitation":"(K. Sari et al., 2020)"},"properties":{"noteIndex":0},"schema":"https://github.com/citation-style-language/schema/raw/master/csl-citation.json"}</w:instrText>
      </w:r>
      <w:r w:rsidR="00FD00FC">
        <w:rPr>
          <w:rFonts w:ascii="Tahoma" w:hAnsi="Tahoma" w:cs="Tahoma"/>
          <w:sz w:val="22"/>
          <w:szCs w:val="22"/>
        </w:rPr>
        <w:fldChar w:fldCharType="separate"/>
      </w:r>
      <w:r w:rsidR="00FD00FC" w:rsidRPr="00FD00FC">
        <w:rPr>
          <w:rFonts w:ascii="Tahoma" w:hAnsi="Tahoma" w:cs="Tahoma"/>
          <w:noProof/>
          <w:sz w:val="22"/>
          <w:szCs w:val="22"/>
        </w:rPr>
        <w:t>(Sari et al., 2020)</w:t>
      </w:r>
      <w:r w:rsidR="00FD00FC">
        <w:rPr>
          <w:rFonts w:ascii="Tahoma" w:hAnsi="Tahoma" w:cs="Tahoma"/>
          <w:sz w:val="22"/>
          <w:szCs w:val="22"/>
        </w:rPr>
        <w:fldChar w:fldCharType="end"/>
      </w:r>
      <w:r w:rsidR="00FD00FC">
        <w:rPr>
          <w:rFonts w:ascii="Tahoma" w:hAnsi="Tahoma" w:cs="Tahoma"/>
          <w:sz w:val="22"/>
          <w:szCs w:val="22"/>
        </w:rPr>
        <w:t>.</w:t>
      </w:r>
    </w:p>
    <w:p w14:paraId="223F7A4C" w14:textId="77777777" w:rsidR="00F5356C" w:rsidRDefault="00F5356C" w:rsidP="00ED66EF">
      <w:pPr>
        <w:pStyle w:val="BodyText"/>
        <w:contextualSpacing/>
        <w:jc w:val="both"/>
        <w:rPr>
          <w:rFonts w:ascii="Tahoma" w:hAnsi="Tahoma" w:cs="Tahoma"/>
          <w:sz w:val="22"/>
          <w:szCs w:val="22"/>
        </w:rPr>
      </w:pPr>
    </w:p>
    <w:p w14:paraId="50E91736" w14:textId="77777777" w:rsidR="00F5356C" w:rsidRDefault="00F5356C" w:rsidP="00ED66EF">
      <w:pPr>
        <w:pStyle w:val="BodyText"/>
        <w:contextualSpacing/>
        <w:jc w:val="both"/>
        <w:rPr>
          <w:rFonts w:ascii="Tahoma" w:hAnsi="Tahoma" w:cs="Tahoma"/>
          <w:sz w:val="22"/>
          <w:szCs w:val="22"/>
        </w:rPr>
      </w:pPr>
    </w:p>
    <w:p w14:paraId="5A3E7312" w14:textId="78438242" w:rsidR="00ED66EF" w:rsidRPr="005D7FE9" w:rsidRDefault="00F5356C" w:rsidP="00D529A3">
      <w:pPr>
        <w:pStyle w:val="BodyText"/>
        <w:spacing w:after="0"/>
        <w:contextualSpacing/>
        <w:jc w:val="both"/>
        <w:rPr>
          <w:rFonts w:ascii="Tahoma" w:hAnsi="Tahoma" w:cs="Tahoma"/>
          <w:b/>
          <w:bCs/>
          <w:sz w:val="22"/>
          <w:szCs w:val="22"/>
        </w:rPr>
      </w:pPr>
      <w:r w:rsidRPr="00F5356C">
        <w:rPr>
          <w:rFonts w:ascii="Tahoma" w:hAnsi="Tahoma" w:cs="Tahoma"/>
          <w:b/>
          <w:bCs/>
          <w:sz w:val="22"/>
          <w:szCs w:val="22"/>
        </w:rPr>
        <w:t>The Role and Efficacy of Islamic Banking in SDG Implementation</w:t>
      </w:r>
    </w:p>
    <w:p w14:paraId="1D6046EE" w14:textId="77777777" w:rsidR="005C182F" w:rsidRDefault="00D529A3" w:rsidP="005C182F">
      <w:pPr>
        <w:spacing w:line="276" w:lineRule="auto"/>
        <w:ind w:firstLine="567"/>
        <w:contextualSpacing/>
        <w:jc w:val="both"/>
        <w:rPr>
          <w:rFonts w:ascii="Tahoma" w:hAnsi="Tahoma" w:cs="Tahoma"/>
          <w:sz w:val="22"/>
          <w:szCs w:val="22"/>
        </w:rPr>
      </w:pPr>
      <w:bookmarkStart w:id="1" w:name="_Hlk233795000"/>
      <w:r w:rsidRPr="00D529A3">
        <w:rPr>
          <w:rFonts w:ascii="Tahoma" w:hAnsi="Tahoma" w:cs="Tahoma"/>
          <w:sz w:val="22"/>
          <w:szCs w:val="22"/>
        </w:rPr>
        <w:t xml:space="preserve">Empirically, the capacity of Islamic banking institutions to catalyze sustainable development is operationalized through financial intermediation </w:t>
      </w:r>
      <w:r w:rsidR="004F002D">
        <w:rPr>
          <w:rFonts w:ascii="Tahoma" w:hAnsi="Tahoma" w:cs="Tahoma"/>
          <w:sz w:val="22"/>
          <w:szCs w:val="22"/>
        </w:rPr>
        <w:t>explicitly tailored to</w:t>
      </w:r>
      <w:r w:rsidRPr="00D529A3">
        <w:rPr>
          <w:rFonts w:ascii="Tahoma" w:hAnsi="Tahoma" w:cs="Tahoma"/>
          <w:sz w:val="22"/>
          <w:szCs w:val="22"/>
        </w:rPr>
        <w:t xml:space="preserve"> the real economy. A robust corpus of global and regional scholarship confirms that expanding productive financing, deepening financial inclusion, and extending structured credit to Micro, Small, and Medium Enterprises (MSMEs) yield statistically significant contributions to poverty eradication (SDGs 1) and inclusive economic growth (SDGs 8). Within the Indonesian landscape, this developmental model is significantly amplified by a distinct ecosystem anomaly: the deliberate synergy between commercial banking operations and Islamic social finance instruments, namely Zakat, </w:t>
      </w:r>
      <w:proofErr w:type="spellStart"/>
      <w:r w:rsidRPr="00D529A3">
        <w:rPr>
          <w:rFonts w:ascii="Tahoma" w:hAnsi="Tahoma" w:cs="Tahoma"/>
          <w:sz w:val="22"/>
          <w:szCs w:val="22"/>
        </w:rPr>
        <w:t>Infaq</w:t>
      </w:r>
      <w:proofErr w:type="spellEnd"/>
      <w:r w:rsidRPr="00D529A3">
        <w:rPr>
          <w:rFonts w:ascii="Tahoma" w:hAnsi="Tahoma" w:cs="Tahoma"/>
          <w:sz w:val="22"/>
          <w:szCs w:val="22"/>
        </w:rPr>
        <w:t>, Alms, and Waqf (ZISWAF)</w:t>
      </w:r>
      <w:r w:rsidR="00C07931">
        <w:rPr>
          <w:rFonts w:ascii="Tahoma" w:hAnsi="Tahoma" w:cs="Tahoma"/>
          <w:sz w:val="22"/>
          <w:szCs w:val="22"/>
        </w:rPr>
        <w:t xml:space="preserve"> </w:t>
      </w:r>
      <w:r w:rsidR="00C07931">
        <w:rPr>
          <w:rFonts w:ascii="Tahoma" w:hAnsi="Tahoma" w:cs="Tahoma"/>
          <w:sz w:val="22"/>
          <w:szCs w:val="22"/>
        </w:rPr>
        <w:fldChar w:fldCharType="begin" w:fldLock="1"/>
      </w:r>
      <w:r w:rsidR="00E10E6C">
        <w:rPr>
          <w:rFonts w:ascii="Tahoma" w:hAnsi="Tahoma" w:cs="Tahoma"/>
          <w:sz w:val="22"/>
          <w:szCs w:val="22"/>
        </w:rPr>
        <w:instrText>ADDIN CSL_CITATION {"citationItems":[{"id":"ITEM-1","itemData":{"DOI":"10.61722/jiem.v3i12.7369","author":[{"dropping-particle":"","family":"Nisa","given":"Richen Shofia","non-dropping-particle":"","parse-names":false,"suffix":""},{"dropping-particle":"","family":"Kurniawati","given":"Ima","non-dropping-particle":"","parse-names":false,"suffix":""},{"dropping-particle":"","family":"Ritjha","given":"Muhammad","non-dropping-particle":"","parse-names":false,"suffix":""},{"dropping-particle":"","family":"Pramadita","given":"Vionika Yolla","non-dropping-particle":"","parse-names":false,"suffix":""},{"dropping-particle":"","family":"Hidayati","given":"Amalia Nuril","non-dropping-particle":"","parse-names":false,"suffix":""}],"container-title":"Jurnal Ilmiah Ekonomi dan Manajemen","id":"ITEM-1","issue":"12","issued":{"date-parts":[["2025"]]},"page":"122-131","title":"Kontribusi Perbankan Syariah Terhadap Stabilitas Ekonomi dan Pencapaian Sustainable Development Goals (SDGs) Melalui Pembiayaan Syariah","type":"article-journal","volume":"3"},"uris":["http://www.mendeley.com/documents/?uuid=1a3f2150-f6b0-4992-8c07-a0bbe319d13a"]}],"mendeley":{"formattedCitation":"(R. S. Nisa et al., 2025)","plainTextFormattedCitation":"(R. S. Nisa et al., 2025)","previouslyFormattedCitation":"(R. S. Nisa et al., 2025)"},"properties":{"noteIndex":0},"schema":"https://github.com/citation-style-language/schema/raw/master/csl-citation.json"}</w:instrText>
      </w:r>
      <w:r w:rsidR="00C07931">
        <w:rPr>
          <w:rFonts w:ascii="Tahoma" w:hAnsi="Tahoma" w:cs="Tahoma"/>
          <w:sz w:val="22"/>
          <w:szCs w:val="22"/>
        </w:rPr>
        <w:fldChar w:fldCharType="separate"/>
      </w:r>
      <w:r w:rsidR="00A40C41" w:rsidRPr="00A40C41">
        <w:rPr>
          <w:rFonts w:ascii="Tahoma" w:hAnsi="Tahoma" w:cs="Tahoma"/>
          <w:noProof/>
          <w:sz w:val="22"/>
          <w:szCs w:val="22"/>
        </w:rPr>
        <w:t>(R. S. Nisa et al., 2025)</w:t>
      </w:r>
      <w:r w:rsidR="00C07931">
        <w:rPr>
          <w:rFonts w:ascii="Tahoma" w:hAnsi="Tahoma" w:cs="Tahoma"/>
          <w:sz w:val="22"/>
          <w:szCs w:val="22"/>
        </w:rPr>
        <w:fldChar w:fldCharType="end"/>
      </w:r>
      <w:r w:rsidRPr="00D529A3">
        <w:rPr>
          <w:rFonts w:ascii="Tahoma" w:hAnsi="Tahoma" w:cs="Tahoma"/>
          <w:sz w:val="22"/>
          <w:szCs w:val="22"/>
        </w:rPr>
        <w:t>. This institutional convergence effectively transmutes traditional banking functions into a holistic vehicle for sustainable macro-economic transformation.</w:t>
      </w:r>
      <w:bookmarkEnd w:id="1"/>
    </w:p>
    <w:p w14:paraId="1319CA6F" w14:textId="5ED14566" w:rsidR="00D529A3" w:rsidRPr="00D529A3" w:rsidRDefault="00D529A3" w:rsidP="005C182F">
      <w:pPr>
        <w:spacing w:line="276" w:lineRule="auto"/>
        <w:ind w:firstLine="567"/>
        <w:contextualSpacing/>
        <w:jc w:val="both"/>
        <w:rPr>
          <w:rFonts w:ascii="Tahoma" w:hAnsi="Tahoma" w:cs="Tahoma"/>
          <w:sz w:val="22"/>
          <w:szCs w:val="22"/>
        </w:rPr>
      </w:pPr>
      <w:r w:rsidRPr="00D529A3">
        <w:rPr>
          <w:rFonts w:ascii="Tahoma" w:hAnsi="Tahoma" w:cs="Tahoma"/>
          <w:sz w:val="22"/>
          <w:szCs w:val="22"/>
        </w:rPr>
        <w:t xml:space="preserve">Empirical evaluations </w:t>
      </w:r>
      <w:r w:rsidR="004F002D">
        <w:rPr>
          <w:rFonts w:ascii="Tahoma" w:hAnsi="Tahoma" w:cs="Tahoma"/>
          <w:sz w:val="22"/>
          <w:szCs w:val="22"/>
        </w:rPr>
        <w:t>of the intersection of Islamic banking and sustainable development indicate that the overall effectiveness of these institutional contributions remains only</w:t>
      </w:r>
      <w:r w:rsidRPr="00D529A3">
        <w:rPr>
          <w:rFonts w:ascii="Tahoma" w:hAnsi="Tahoma" w:cs="Tahoma"/>
          <w:sz w:val="22"/>
          <w:szCs w:val="22"/>
        </w:rPr>
        <w:t xml:space="preserve"> moderate. This constrained effectiveness is deeply rooted in the persistent hegemony of conventional performance indicators, which heavily prioritize short-term commercial profitability and rapid asset growth. Consequently, the long-term dimensions of socio-environmental impact and ecological preservation are routinely marginalized, failing to be reflected optimally or comprehensively within current corporate reporting and operational frameworks </w:t>
      </w:r>
      <w:r w:rsidR="00A40C41">
        <w:rPr>
          <w:rFonts w:ascii="Tahoma" w:hAnsi="Tahoma" w:cs="Tahoma"/>
          <w:sz w:val="22"/>
          <w:szCs w:val="22"/>
        </w:rPr>
        <w:fldChar w:fldCharType="begin" w:fldLock="1"/>
      </w:r>
      <w:r w:rsidR="00E10E6C">
        <w:rPr>
          <w:rFonts w:ascii="Tahoma" w:hAnsi="Tahoma" w:cs="Tahoma"/>
          <w:sz w:val="22"/>
          <w:szCs w:val="22"/>
        </w:rPr>
        <w:instrText>ADDIN CSL_CITATION {"citationItems":[{"id":"ITEM-1","itemData":{"DOI":"10.62017/jemb.v3i5.7318","author":[{"dropping-particle":"","family":"Nisa","given":"Ainun","non-dropping-particle":"","parse-names":false,"suffix":""},{"dropping-particle":"","family":"Al'haq","given":"Arina Rizqi","non-dropping-particle":"","parse-names":false,"suffix":""},{"dropping-particle":"","family":"Mardliyyah","given":"Umi Nur","non-dropping-particle":"","parse-names":false,"suffix":""},{"dropping-particle":"","family":"Ni'amillah","given":"","non-dropping-particle":"","parse-names":false,"suffix":""},{"dropping-particle":"","family":"Saputra","given":"Muhammad Ridho","non-dropping-particle":"","parse-names":false,"suffix":""},{"dropping-particle":"","family":"Yunisa","given":"Nana","non-dropping-particle":"","parse-names":false,"suffix":""},{"dropping-particle":"","family":"Huda","given":"Nur","non-dropping-particle":"","parse-names":false,"suffix":""}],"container-title":"Jurnal Ekonomi Manajemen dan Bisnis","id":"ITEM-1","issue":"5","issued":{"date-parts":[["2026"]]},"page":"161-168","title":"Analisis Kinerja Keuangan Melalui Pendekatan Rasio Solvabilitas: Studi Kasus pada KB Bank Syariah Periode 2022–2024","type":"article-journal","volume":"3"},"uris":["http://www.mendeley.com/documents/?uuid=dd648829-8537-4cfd-9f57-223822036d13"]}],"mendeley":{"formattedCitation":"(A. Nisa et al., 2026)","manualFormatting":"(Nisa et al., 2026)","plainTextFormattedCitation":"(A. Nisa et al., 2026)","previouslyFormattedCitation":"(A. Nisa et al., 2026)"},"properties":{"noteIndex":0},"schema":"https://github.com/citation-style-language/schema/raw/master/csl-citation.json"}</w:instrText>
      </w:r>
      <w:r w:rsidR="00A40C41">
        <w:rPr>
          <w:rFonts w:ascii="Tahoma" w:hAnsi="Tahoma" w:cs="Tahoma"/>
          <w:sz w:val="22"/>
          <w:szCs w:val="22"/>
        </w:rPr>
        <w:fldChar w:fldCharType="separate"/>
      </w:r>
      <w:r w:rsidR="00A40C41" w:rsidRPr="00A40C41">
        <w:rPr>
          <w:rFonts w:ascii="Tahoma" w:hAnsi="Tahoma" w:cs="Tahoma"/>
          <w:noProof/>
          <w:sz w:val="22"/>
          <w:szCs w:val="22"/>
        </w:rPr>
        <w:t>(Nisa et al., 2026)</w:t>
      </w:r>
      <w:r w:rsidR="00A40C41">
        <w:rPr>
          <w:rFonts w:ascii="Tahoma" w:hAnsi="Tahoma" w:cs="Tahoma"/>
          <w:sz w:val="22"/>
          <w:szCs w:val="22"/>
        </w:rPr>
        <w:fldChar w:fldCharType="end"/>
      </w:r>
    </w:p>
    <w:p w14:paraId="5DB92AA0" w14:textId="77777777" w:rsidR="00D529A3" w:rsidRPr="005D7FE9" w:rsidRDefault="00D529A3" w:rsidP="00ED66EF">
      <w:pPr>
        <w:pStyle w:val="BodyText"/>
        <w:contextualSpacing/>
        <w:jc w:val="both"/>
        <w:rPr>
          <w:rFonts w:ascii="Tahoma" w:hAnsi="Tahoma" w:cs="Tahoma"/>
          <w:sz w:val="22"/>
          <w:szCs w:val="22"/>
        </w:rPr>
      </w:pPr>
    </w:p>
    <w:p w14:paraId="4B4249A9" w14:textId="2F0D652F" w:rsidR="00ED66EF" w:rsidRPr="005D7FE9" w:rsidRDefault="007A1220" w:rsidP="00553451">
      <w:pPr>
        <w:pStyle w:val="BodyText"/>
        <w:spacing w:after="0"/>
        <w:contextualSpacing/>
        <w:jc w:val="both"/>
        <w:rPr>
          <w:rFonts w:ascii="Tahoma" w:hAnsi="Tahoma" w:cs="Tahoma"/>
          <w:b/>
          <w:bCs/>
          <w:sz w:val="22"/>
          <w:szCs w:val="22"/>
        </w:rPr>
      </w:pPr>
      <w:r w:rsidRPr="007A1220">
        <w:rPr>
          <w:rFonts w:ascii="Tahoma" w:hAnsi="Tahoma" w:cs="Tahoma"/>
          <w:b/>
          <w:bCs/>
          <w:sz w:val="22"/>
          <w:szCs w:val="22"/>
        </w:rPr>
        <w:t>Institutional Challenges and Integrated Sustainability Governance</w:t>
      </w:r>
    </w:p>
    <w:p w14:paraId="796FA9B2" w14:textId="77777777" w:rsidR="005C182F" w:rsidRDefault="007A1220" w:rsidP="005C182F">
      <w:pPr>
        <w:spacing w:line="276" w:lineRule="auto"/>
        <w:ind w:firstLine="567"/>
        <w:contextualSpacing/>
        <w:jc w:val="both"/>
        <w:rPr>
          <w:rFonts w:ascii="Tahoma" w:hAnsi="Tahoma" w:cs="Tahoma"/>
          <w:sz w:val="22"/>
          <w:szCs w:val="22"/>
        </w:rPr>
      </w:pPr>
      <w:bookmarkStart w:id="2" w:name="_Hlk233795399"/>
      <w:r w:rsidRPr="007A1220">
        <w:rPr>
          <w:rFonts w:ascii="Tahoma" w:hAnsi="Tahoma" w:cs="Tahoma"/>
          <w:sz w:val="22"/>
          <w:szCs w:val="22"/>
        </w:rPr>
        <w:t xml:space="preserve">Although the Islamic banking industry consistently records positive asset growth at both national and regional echelons, its structural acceleration toward sustainable development remains impeded by fundamental institutional hurdles. Chief among these challenges is the conspicuous absence of standardized SDGs benchmarks embedded within the internal performance measurement systems of Sharia-compliant banks. Consequently, a substantial portion of current green financing programs and corporate social initiatives are executed in a vacuum, lacking empirical, </w:t>
      </w:r>
      <w:proofErr w:type="spellStart"/>
      <w:r w:rsidRPr="007A1220">
        <w:rPr>
          <w:rFonts w:ascii="Tahoma" w:hAnsi="Tahoma" w:cs="Tahoma"/>
          <w:i/>
          <w:iCs/>
          <w:sz w:val="22"/>
          <w:szCs w:val="22"/>
        </w:rPr>
        <w:t>maqashid</w:t>
      </w:r>
      <w:proofErr w:type="spellEnd"/>
      <w:r w:rsidRPr="007A1220">
        <w:rPr>
          <w:rFonts w:ascii="Tahoma" w:hAnsi="Tahoma" w:cs="Tahoma"/>
          <w:sz w:val="22"/>
          <w:szCs w:val="22"/>
        </w:rPr>
        <w:t xml:space="preserve">-based impact assessment mechanisms to verify their tangible socio-ecological contributions </w:t>
      </w:r>
      <w:r w:rsidR="00E10E6C">
        <w:rPr>
          <w:rFonts w:ascii="Tahoma" w:hAnsi="Tahoma" w:cs="Tahoma"/>
          <w:sz w:val="22"/>
          <w:szCs w:val="22"/>
        </w:rPr>
        <w:fldChar w:fldCharType="begin" w:fldLock="1"/>
      </w:r>
      <w:r w:rsidR="00A606F5">
        <w:rPr>
          <w:rFonts w:ascii="Tahoma" w:hAnsi="Tahoma" w:cs="Tahoma"/>
          <w:sz w:val="22"/>
          <w:szCs w:val="22"/>
        </w:rPr>
        <w:instrText>ADDIN CSL_CITATION {"citationItems":[{"id":"ITEM-1","itemData":{"author":[{"dropping-particle":"","family":"Nilna","given":"Nayla Fatiqatun","non-dropping-particle":"","parse-names":false,"suffix":""},{"dropping-particle":"","family":"Rahmawati","given":"Ajeng","non-dropping-particle":"","parse-names":false,"suffix":""},{"dropping-particle":"","family":"Putri","given":"Destin Ilmala","non-dropping-particle":"","parse-names":false,"suffix":""},{"dropping-particle":"","family":"Rahmadhani","given":"Vellhany Bunga","non-dropping-particle":"","parse-names":false,"suffix":""},{"dropping-particle":"","family":"Hidayati","given":"Amalia Nuril","non-dropping-particle":"","parse-names":false,"suffix":""}],"container-title":"Jurnal Media Akademik","id":"ITEM-1","issue":"12","issued":{"date-parts":[["2025"]]},"title":"Implementasi Green Banking pada Bank Umum Syariah di Indonesia: Tantangan dan Strategi","type":"article-journal","volume":"3"},"uris":["http://www.mendeley.com/documents/?uuid=74a83ecf-5c98-4879-9c3f-7ab79bd15ad8"]}],"mendeley":{"formattedCitation":"(Nilna et al., 2025)","plainTextFormattedCitation":"(Nilna et al., 2025)","previouslyFormattedCitation":"(Nilna et al., 2025)"},"properties":{"noteIndex":0},"schema":"https://github.com/citation-style-language/schema/raw/master/csl-citation.json"}</w:instrText>
      </w:r>
      <w:r w:rsidR="00E10E6C">
        <w:rPr>
          <w:rFonts w:ascii="Tahoma" w:hAnsi="Tahoma" w:cs="Tahoma"/>
          <w:sz w:val="22"/>
          <w:szCs w:val="22"/>
        </w:rPr>
        <w:fldChar w:fldCharType="separate"/>
      </w:r>
      <w:r w:rsidR="00E10E6C" w:rsidRPr="00E10E6C">
        <w:rPr>
          <w:rFonts w:ascii="Tahoma" w:hAnsi="Tahoma" w:cs="Tahoma"/>
          <w:noProof/>
          <w:sz w:val="22"/>
          <w:szCs w:val="22"/>
        </w:rPr>
        <w:t>(Nilna et al., 2025)</w:t>
      </w:r>
      <w:r w:rsidR="00E10E6C">
        <w:rPr>
          <w:rFonts w:ascii="Tahoma" w:hAnsi="Tahoma" w:cs="Tahoma"/>
          <w:sz w:val="22"/>
          <w:szCs w:val="22"/>
        </w:rPr>
        <w:fldChar w:fldCharType="end"/>
      </w:r>
      <w:r w:rsidR="00E10E6C">
        <w:rPr>
          <w:rFonts w:ascii="Tahoma" w:hAnsi="Tahoma" w:cs="Tahoma"/>
          <w:sz w:val="22"/>
          <w:szCs w:val="22"/>
        </w:rPr>
        <w:t>.</w:t>
      </w:r>
      <w:bookmarkStart w:id="3" w:name="_Hlk233795471"/>
      <w:bookmarkEnd w:id="2"/>
    </w:p>
    <w:p w14:paraId="015A1711" w14:textId="5A408D0A" w:rsidR="007A1220" w:rsidRPr="007A1220" w:rsidRDefault="007A1220" w:rsidP="005C182F">
      <w:pPr>
        <w:spacing w:line="276" w:lineRule="auto"/>
        <w:ind w:firstLine="567"/>
        <w:contextualSpacing/>
        <w:jc w:val="both"/>
        <w:rPr>
          <w:rFonts w:ascii="Tahoma" w:hAnsi="Tahoma" w:cs="Tahoma"/>
          <w:sz w:val="22"/>
          <w:szCs w:val="22"/>
        </w:rPr>
      </w:pPr>
      <w:r w:rsidRPr="007A1220">
        <w:rPr>
          <w:rFonts w:ascii="Tahoma" w:hAnsi="Tahoma" w:cs="Tahoma"/>
          <w:sz w:val="22"/>
          <w:szCs w:val="22"/>
        </w:rPr>
        <w:t>Furthermore, another critical constraint lies in the sub-optimal collaboration and synergy among key stakeholders, encompassing regulatory bodies (OJK and KNEKS), Islamic banking practitioners, local governments, and academia. To bridge this cooperative gap, a fundamental restructuring of sustainability governance that seamlessly integrates Environmental, Social, and Governance (ESG) criteria with Sharia values is imperative. This strategic intervention is highly urgent to design adaptive, innovative financing policies capable of generating sustainable public interest (</w:t>
      </w:r>
      <w:proofErr w:type="spellStart"/>
      <w:r w:rsidRPr="007A1220">
        <w:rPr>
          <w:rFonts w:ascii="Tahoma" w:hAnsi="Tahoma" w:cs="Tahoma"/>
          <w:i/>
          <w:iCs/>
          <w:sz w:val="22"/>
          <w:szCs w:val="22"/>
        </w:rPr>
        <w:t>maslahah</w:t>
      </w:r>
      <w:proofErr w:type="spellEnd"/>
      <w:r w:rsidRPr="007A1220">
        <w:rPr>
          <w:rFonts w:ascii="Tahoma" w:hAnsi="Tahoma" w:cs="Tahoma"/>
          <w:sz w:val="22"/>
          <w:szCs w:val="22"/>
        </w:rPr>
        <w:t xml:space="preserve">) for the broader society </w:t>
      </w:r>
      <w:r w:rsidR="00A606F5">
        <w:rPr>
          <w:rFonts w:ascii="Tahoma" w:hAnsi="Tahoma" w:cs="Tahoma"/>
          <w:sz w:val="22"/>
          <w:szCs w:val="22"/>
        </w:rPr>
        <w:fldChar w:fldCharType="begin" w:fldLock="1"/>
      </w:r>
      <w:r w:rsidR="003E601D">
        <w:rPr>
          <w:rFonts w:ascii="Tahoma" w:hAnsi="Tahoma" w:cs="Tahoma"/>
          <w:sz w:val="22"/>
          <w:szCs w:val="22"/>
        </w:rPr>
        <w:instrText>ADDIN CSL_CITATION {"citationItems":[{"id":"ITEM-1","itemData":{"DOI":"10.70248/joieaf.v2i2.2740","author":[{"dropping-particle":"","family":"Marzadi","given":"Heki","non-dropping-particle":"","parse-names":false,"suffix":""},{"dropping-particle":"","family":"Katazon","given":"Yogi Tri","non-dropping-particle":"","parse-names":false,"suffix":""}],"container-title":"Journal of Islamic Economics and Finance","id":"ITEM-1","issue":"2","issued":{"date-parts":[["2025"]]},"page":"343-356","title":"Studi Literatur: Penerapan Prinsip Syariah Dalam Investasi ESG","type":"article-journal","volume":"2"},"uris":["http://www.mendeley.com/documents/?uuid=8052113b-8690-4f75-af17-1133d2422fe9"]}],"mendeley":{"formattedCitation":"(Marzadi &amp; Katazon, 2025)","plainTextFormattedCitation":"(Marzadi &amp; Katazon, 2025)","previouslyFormattedCitation":"(Marzadi &amp; Katazon, 2025)"},"properties":{"noteIndex":0},"schema":"https://github.com/citation-style-language/schema/raw/master/csl-citation.json"}</w:instrText>
      </w:r>
      <w:r w:rsidR="00A606F5">
        <w:rPr>
          <w:rFonts w:ascii="Tahoma" w:hAnsi="Tahoma" w:cs="Tahoma"/>
          <w:sz w:val="22"/>
          <w:szCs w:val="22"/>
        </w:rPr>
        <w:fldChar w:fldCharType="separate"/>
      </w:r>
      <w:r w:rsidR="00A606F5" w:rsidRPr="00A606F5">
        <w:rPr>
          <w:rFonts w:ascii="Tahoma" w:hAnsi="Tahoma" w:cs="Tahoma"/>
          <w:noProof/>
          <w:sz w:val="22"/>
          <w:szCs w:val="22"/>
        </w:rPr>
        <w:t>(Marzadi &amp; Katazon, 2025)</w:t>
      </w:r>
      <w:r w:rsidR="00A606F5">
        <w:rPr>
          <w:rFonts w:ascii="Tahoma" w:hAnsi="Tahoma" w:cs="Tahoma"/>
          <w:sz w:val="22"/>
          <w:szCs w:val="22"/>
        </w:rPr>
        <w:fldChar w:fldCharType="end"/>
      </w:r>
      <w:r w:rsidR="00A606F5">
        <w:rPr>
          <w:rFonts w:ascii="Tahoma" w:hAnsi="Tahoma" w:cs="Tahoma"/>
          <w:sz w:val="22"/>
          <w:szCs w:val="22"/>
        </w:rPr>
        <w:t>.</w:t>
      </w:r>
    </w:p>
    <w:bookmarkEnd w:id="3"/>
    <w:p w14:paraId="1A2799B1" w14:textId="77777777" w:rsidR="00C170CE" w:rsidRDefault="00C170CE" w:rsidP="00C170CE">
      <w:pPr>
        <w:pStyle w:val="BodyText"/>
        <w:contextualSpacing/>
        <w:jc w:val="both"/>
        <w:rPr>
          <w:rFonts w:ascii="Tahoma" w:hAnsi="Tahoma" w:cs="Tahoma"/>
          <w:b/>
          <w:bCs/>
          <w:sz w:val="22"/>
          <w:szCs w:val="22"/>
        </w:rPr>
      </w:pPr>
    </w:p>
    <w:p w14:paraId="0AE16E38" w14:textId="77777777" w:rsidR="005E65FC" w:rsidRDefault="005E65FC" w:rsidP="00C170CE">
      <w:pPr>
        <w:pStyle w:val="BodyText"/>
        <w:contextualSpacing/>
        <w:jc w:val="both"/>
        <w:rPr>
          <w:rFonts w:ascii="Tahoma" w:hAnsi="Tahoma" w:cs="Tahoma"/>
          <w:b/>
          <w:bCs/>
          <w:sz w:val="22"/>
          <w:szCs w:val="22"/>
        </w:rPr>
      </w:pPr>
    </w:p>
    <w:p w14:paraId="1F01DCA0" w14:textId="77777777" w:rsidR="005E65FC" w:rsidRPr="005D7FE9" w:rsidRDefault="005E65FC" w:rsidP="00C170CE">
      <w:pPr>
        <w:pStyle w:val="BodyText"/>
        <w:contextualSpacing/>
        <w:jc w:val="both"/>
        <w:rPr>
          <w:rFonts w:ascii="Tahoma" w:hAnsi="Tahoma" w:cs="Tahoma"/>
          <w:b/>
          <w:bCs/>
          <w:sz w:val="22"/>
          <w:szCs w:val="22"/>
        </w:rPr>
      </w:pPr>
    </w:p>
    <w:p w14:paraId="1D4AFE9F" w14:textId="77777777" w:rsidR="0073432E" w:rsidRDefault="004E0BA7" w:rsidP="0073432E">
      <w:pPr>
        <w:pStyle w:val="SubTopicSubJudul"/>
        <w:spacing w:before="0"/>
        <w:rPr>
          <w:rFonts w:ascii="Tahoma" w:hAnsi="Tahoma" w:cs="Tahoma"/>
        </w:rPr>
      </w:pPr>
      <w:r w:rsidRPr="005D7FE9">
        <w:rPr>
          <w:rFonts w:ascii="Tahoma" w:hAnsi="Tahoma" w:cs="Tahoma"/>
        </w:rPr>
        <w:lastRenderedPageBreak/>
        <w:t>Methodology</w:t>
      </w:r>
      <w:bookmarkStart w:id="4" w:name="_Hlk233795625"/>
    </w:p>
    <w:p w14:paraId="4ABF18BE" w14:textId="77777777" w:rsidR="005C182F" w:rsidRDefault="00242174" w:rsidP="005C182F">
      <w:pPr>
        <w:pStyle w:val="SubTopicSubJudul"/>
        <w:spacing w:before="0"/>
        <w:ind w:firstLine="567"/>
        <w:rPr>
          <w:rFonts w:ascii="Tahoma" w:hAnsi="Tahoma" w:cs="Tahoma"/>
          <w:b w:val="0"/>
          <w:bCs w:val="0"/>
        </w:rPr>
      </w:pPr>
      <w:r w:rsidRPr="0073432E">
        <w:rPr>
          <w:rFonts w:ascii="Tahoma" w:hAnsi="Tahoma" w:cs="Tahoma"/>
          <w:b w:val="0"/>
          <w:bCs w:val="0"/>
        </w:rPr>
        <w:t xml:space="preserve">This study adopts a qualitative approach within an exploratory case study design to critically investigate the institutional roles, efficacy, challenges, and strategic frameworks of Islamic banking in anchoring the Sustainable Development Goals (SDGs) through a </w:t>
      </w:r>
      <w:proofErr w:type="spellStart"/>
      <w:r w:rsidRPr="0073432E">
        <w:rPr>
          <w:rFonts w:ascii="Tahoma" w:hAnsi="Tahoma" w:cs="Tahoma"/>
          <w:b w:val="0"/>
          <w:bCs w:val="0"/>
          <w:i/>
          <w:iCs/>
        </w:rPr>
        <w:t>maqashid</w:t>
      </w:r>
      <w:proofErr w:type="spellEnd"/>
      <w:r w:rsidRPr="0073432E">
        <w:rPr>
          <w:rFonts w:ascii="Tahoma" w:hAnsi="Tahoma" w:cs="Tahoma"/>
          <w:b w:val="0"/>
          <w:bCs w:val="0"/>
        </w:rPr>
        <w:t xml:space="preserve"> lens in the Special Region of Yogyakarta (DIY). A qualitative methodology was prioritized because it enables a deeply contextualized exploration of governance, regulatory apparatuses, and sustainable development practices, thereby yielding a comprehensive understanding of the interplay between global developmental benchmarks and Islamic economic tenets</w:t>
      </w:r>
      <w:r w:rsidR="003E601D">
        <w:rPr>
          <w:rFonts w:ascii="Tahoma" w:hAnsi="Tahoma" w:cs="Tahoma"/>
          <w:b w:val="0"/>
          <w:bCs w:val="0"/>
        </w:rPr>
        <w:t xml:space="preserve"> </w:t>
      </w:r>
      <w:r w:rsidR="003E601D">
        <w:rPr>
          <w:rFonts w:ascii="Tahoma" w:hAnsi="Tahoma" w:cs="Tahoma"/>
          <w:b w:val="0"/>
          <w:bCs w:val="0"/>
        </w:rPr>
        <w:fldChar w:fldCharType="begin" w:fldLock="1"/>
      </w:r>
      <w:r w:rsidR="00E251C4">
        <w:rPr>
          <w:rFonts w:ascii="Tahoma" w:hAnsi="Tahoma" w:cs="Tahoma"/>
          <w:b w:val="0"/>
          <w:bCs w:val="0"/>
        </w:rPr>
        <w:instrText>ADDIN CSL_CITATION {"citationItems":[{"id":"ITEM-1","itemData":{"DOI":"10.47772/IJRISS.2024.8120327","author":[{"dropping-particle":"","family":"Sithole","given":"Aleck","non-dropping-particle":"","parse-names":false,"suffix":""}],"container-title":"International Journal of Research and Innovation in Social Science (IJRISS)","id":"ITEM-1","issue":"XII","issued":{"date-parts":[["2025"]]},"page":"3945-3954","title":"Choosing a Qualitative Research Paradigm for Social Sciences : A Literature Review for Educational Researchers","type":"article-journal","volume":"VIII"},"uris":["http://www.mendeley.com/documents/?uuid=ddeb9909-12ea-48bc-8bb2-efff4dc68a9f"]}],"mendeley":{"formattedCitation":"(Sithole, 2025)","plainTextFormattedCitation":"(Sithole, 2025)","previouslyFormattedCitation":"(Sithole, 2025)"},"properties":{"noteIndex":0},"schema":"https://github.com/citation-style-language/schema/raw/master/csl-citation.json"}</w:instrText>
      </w:r>
      <w:r w:rsidR="003E601D">
        <w:rPr>
          <w:rFonts w:ascii="Tahoma" w:hAnsi="Tahoma" w:cs="Tahoma"/>
          <w:b w:val="0"/>
          <w:bCs w:val="0"/>
        </w:rPr>
        <w:fldChar w:fldCharType="separate"/>
      </w:r>
      <w:r w:rsidR="003E601D" w:rsidRPr="003E601D">
        <w:rPr>
          <w:rFonts w:ascii="Tahoma" w:hAnsi="Tahoma" w:cs="Tahoma"/>
          <w:b w:val="0"/>
          <w:bCs w:val="0"/>
          <w:noProof/>
        </w:rPr>
        <w:t>(Sithole, 2025)</w:t>
      </w:r>
      <w:r w:rsidR="003E601D">
        <w:rPr>
          <w:rFonts w:ascii="Tahoma" w:hAnsi="Tahoma" w:cs="Tahoma"/>
          <w:b w:val="0"/>
          <w:bCs w:val="0"/>
        </w:rPr>
        <w:fldChar w:fldCharType="end"/>
      </w:r>
      <w:r w:rsidRPr="0073432E">
        <w:rPr>
          <w:rFonts w:ascii="Tahoma" w:hAnsi="Tahoma" w:cs="Tahoma"/>
          <w:b w:val="0"/>
          <w:bCs w:val="0"/>
        </w:rPr>
        <w:t xml:space="preserve">. Furthermore, within contemporary policy and Sharia financial governance research, qualitative inquiries are widely recognized as highly effective for capturing operational dynamics, stakeholder interactions, and strategic formulations that cannot be adequately measured through rigid, macro-quantitative indicators alone </w:t>
      </w:r>
      <w:r w:rsidR="00E251C4">
        <w:rPr>
          <w:rFonts w:ascii="Tahoma" w:hAnsi="Tahoma" w:cs="Tahoma"/>
          <w:b w:val="0"/>
          <w:bCs w:val="0"/>
        </w:rPr>
        <w:fldChar w:fldCharType="begin" w:fldLock="1"/>
      </w:r>
      <w:r w:rsidR="001A1797">
        <w:rPr>
          <w:rFonts w:ascii="Tahoma" w:hAnsi="Tahoma" w:cs="Tahoma"/>
          <w:b w:val="0"/>
          <w:bCs w:val="0"/>
        </w:rPr>
        <w:instrText>ADDIN CSL_CITATION {"citationItems":[{"id":"ITEM-1","itemData":{"DOI":"10.61722/jssr.v3i4.5436","author":[{"dropping-particle":"","family":"Kurniawan","given":"M Rehan","non-dropping-particle":"","parse-names":false,"suffix":""},{"dropping-particle":"","family":"Nasution","given":"Muhammad Irwan Padli","non-dropping-particle":"","parse-names":false,"suffix":""}],"container-title":"Journal Sains Student Research","id":"ITEM-1","issue":"4","issued":{"date-parts":[["2025"]]},"page":"700-705","title":"Tata Kelola Data Dalam Manajemen Syariah : Tantangan Dan Dampak Terhadap Efisiensi Operasional","type":"article-journal","volume":"3"},"uris":["http://www.mendeley.com/documents/?uuid=2e2192c7-bba7-4cb5-a282-526682c53086"]}],"mendeley":{"formattedCitation":"(Kurniawan &amp; Nasution, 2025)","plainTextFormattedCitation":"(Kurniawan &amp; Nasution, 2025)","previouslyFormattedCitation":"(Kurniawan &amp; Nasution, 2025)"},"properties":{"noteIndex":0},"schema":"https://github.com/citation-style-language/schema/raw/master/csl-citation.json"}</w:instrText>
      </w:r>
      <w:r w:rsidR="00E251C4">
        <w:rPr>
          <w:rFonts w:ascii="Tahoma" w:hAnsi="Tahoma" w:cs="Tahoma"/>
          <w:b w:val="0"/>
          <w:bCs w:val="0"/>
        </w:rPr>
        <w:fldChar w:fldCharType="separate"/>
      </w:r>
      <w:r w:rsidR="00E251C4" w:rsidRPr="00E251C4">
        <w:rPr>
          <w:rFonts w:ascii="Tahoma" w:hAnsi="Tahoma" w:cs="Tahoma"/>
          <w:b w:val="0"/>
          <w:bCs w:val="0"/>
          <w:noProof/>
        </w:rPr>
        <w:t>(Kurniawan &amp; Nasution, 2025)</w:t>
      </w:r>
      <w:r w:rsidR="00E251C4">
        <w:rPr>
          <w:rFonts w:ascii="Tahoma" w:hAnsi="Tahoma" w:cs="Tahoma"/>
          <w:b w:val="0"/>
          <w:bCs w:val="0"/>
        </w:rPr>
        <w:fldChar w:fldCharType="end"/>
      </w:r>
      <w:r w:rsidR="00E251C4">
        <w:rPr>
          <w:rFonts w:ascii="Tahoma" w:hAnsi="Tahoma" w:cs="Tahoma"/>
          <w:b w:val="0"/>
          <w:bCs w:val="0"/>
        </w:rPr>
        <w:t>.</w:t>
      </w:r>
      <w:bookmarkEnd w:id="4"/>
    </w:p>
    <w:p w14:paraId="06CDDF1B" w14:textId="77777777" w:rsidR="005C182F" w:rsidRDefault="00242174" w:rsidP="005C182F">
      <w:pPr>
        <w:pStyle w:val="SubTopicSubJudul"/>
        <w:spacing w:before="0"/>
        <w:ind w:firstLine="567"/>
        <w:rPr>
          <w:rFonts w:ascii="Tahoma" w:hAnsi="Tahoma" w:cs="Tahoma"/>
          <w:b w:val="0"/>
          <w:bCs w:val="0"/>
        </w:rPr>
      </w:pPr>
      <w:r w:rsidRPr="005C182F">
        <w:rPr>
          <w:rFonts w:ascii="Tahoma" w:hAnsi="Tahoma" w:cs="Tahoma"/>
          <w:b w:val="0"/>
          <w:bCs w:val="0"/>
        </w:rPr>
        <w:t xml:space="preserve">The geographical </w:t>
      </w:r>
      <w:r w:rsidR="004F002D" w:rsidRPr="005C182F">
        <w:rPr>
          <w:rFonts w:ascii="Tahoma" w:hAnsi="Tahoma" w:cs="Tahoma"/>
          <w:b w:val="0"/>
          <w:bCs w:val="0"/>
        </w:rPr>
        <w:t xml:space="preserve">focus of this study is the Islamic banking sector in the Special Region of Yogyakarta (DIY), selected through a </w:t>
      </w:r>
      <w:r w:rsidRPr="005C182F">
        <w:rPr>
          <w:rFonts w:ascii="Tahoma" w:hAnsi="Tahoma" w:cs="Tahoma"/>
          <w:b w:val="0"/>
          <w:bCs w:val="0"/>
        </w:rPr>
        <w:t>purposive sampling strategy. This jurisdiction serves as a strategic national priority hub for Islamic economic and financial development in Indonesia, characterized by a robust concentration of academic institutions, vibrant entrepreneurial activities, and a relatively high Sharia financial inclusion index compared to other sub-national territories. Rather than confining the empirical investigation to a single corporate entity, this research operationalizes the broader regional Islamic banking ecosystem operating within DIY as its primary unit of analysis.</w:t>
      </w:r>
    </w:p>
    <w:p w14:paraId="765C40A9" w14:textId="77777777" w:rsidR="005C182F" w:rsidRPr="005C182F" w:rsidRDefault="00242174" w:rsidP="005C182F">
      <w:pPr>
        <w:pStyle w:val="SubTopicSubJudul"/>
        <w:spacing w:before="0"/>
        <w:ind w:firstLine="567"/>
        <w:rPr>
          <w:rFonts w:ascii="Tahoma" w:hAnsi="Tahoma" w:cs="Tahoma"/>
          <w:b w:val="0"/>
          <w:bCs w:val="0"/>
        </w:rPr>
      </w:pPr>
      <w:r w:rsidRPr="005C182F">
        <w:rPr>
          <w:rFonts w:ascii="Tahoma" w:hAnsi="Tahoma" w:cs="Tahoma"/>
          <w:b w:val="0"/>
          <w:bCs w:val="0"/>
        </w:rPr>
        <w:t xml:space="preserve">The conceptual object of this inquiry delineates the systemic role of Islamic banking in accelerating SDG attainment, focusing explicitly on goals interconnected with poverty eradication, food security, public health, inclusive economic growth, and responsible consumption. Correspondingly, the empirical subject of the study comprises a multifaceted corpus of official institutional documents and secondary materials. This qualitative dataset integrates corporate annual and sustainability reports from active Sharia banks, national Islamic banking progress reviews, and regulatory policy papers. Crucially, to ensure data triangulation and analytical depth, these materials were systematically harvested from authoritative domestic oversight bodies, including the Financial Services Authority (OJK), the National Committee for Islamic Economy and Finance (KNEKS), and the </w:t>
      </w:r>
      <w:proofErr w:type="spellStart"/>
      <w:r w:rsidRPr="005C182F">
        <w:rPr>
          <w:rFonts w:ascii="Tahoma" w:hAnsi="Tahoma" w:cs="Tahoma"/>
          <w:b w:val="0"/>
          <w:bCs w:val="0"/>
        </w:rPr>
        <w:t>Asosiasi</w:t>
      </w:r>
      <w:proofErr w:type="spellEnd"/>
      <w:r w:rsidRPr="005C182F">
        <w:rPr>
          <w:rFonts w:ascii="Tahoma" w:hAnsi="Tahoma" w:cs="Tahoma"/>
          <w:b w:val="0"/>
          <w:bCs w:val="0"/>
        </w:rPr>
        <w:t xml:space="preserve"> Bank Syariah Indonesia (ASBISINDO).</w:t>
      </w:r>
      <w:bookmarkStart w:id="5" w:name="_Hlk233795894"/>
    </w:p>
    <w:p w14:paraId="1E6D9108" w14:textId="77777777" w:rsidR="005C182F" w:rsidRPr="005C182F" w:rsidRDefault="00242174" w:rsidP="005C182F">
      <w:pPr>
        <w:pStyle w:val="SubTopicSubJudul"/>
        <w:spacing w:before="0"/>
        <w:ind w:firstLine="567"/>
        <w:rPr>
          <w:rFonts w:ascii="Tahoma" w:hAnsi="Tahoma" w:cs="Tahoma"/>
          <w:b w:val="0"/>
          <w:bCs w:val="0"/>
        </w:rPr>
      </w:pPr>
      <w:r w:rsidRPr="005C182F">
        <w:rPr>
          <w:rFonts w:ascii="Tahoma" w:hAnsi="Tahoma" w:cs="Tahoma"/>
          <w:b w:val="0"/>
          <w:bCs w:val="0"/>
        </w:rPr>
        <w:t xml:space="preserve">Data collection was </w:t>
      </w:r>
      <w:r w:rsidR="004F002D" w:rsidRPr="005C182F">
        <w:rPr>
          <w:rFonts w:ascii="Tahoma" w:hAnsi="Tahoma" w:cs="Tahoma"/>
          <w:b w:val="0"/>
          <w:bCs w:val="0"/>
        </w:rPr>
        <w:t>conducted using a structured, document-based research approach, involving the systematic search</w:t>
      </w:r>
      <w:r w:rsidRPr="005C182F">
        <w:rPr>
          <w:rFonts w:ascii="Tahoma" w:hAnsi="Tahoma" w:cs="Tahoma"/>
          <w:b w:val="0"/>
          <w:bCs w:val="0"/>
        </w:rPr>
        <w:t xml:space="preserve">, selection, and critical evaluation of materials aligned with the study's core objectives. To filter these materials, a purposive sampling technique was employed based on three stringent inclusion criteria: (1) documents published within the 2020–2026 temporal boundary; (2) contents directly intersecting with SDG implementation, </w:t>
      </w:r>
      <w:proofErr w:type="spellStart"/>
      <w:r w:rsidRPr="005C182F">
        <w:rPr>
          <w:rFonts w:ascii="Tahoma" w:hAnsi="Tahoma" w:cs="Tahoma"/>
          <w:b w:val="0"/>
          <w:bCs w:val="0"/>
          <w:i/>
          <w:iCs/>
        </w:rPr>
        <w:t>maqashid</w:t>
      </w:r>
      <w:proofErr w:type="spellEnd"/>
      <w:r w:rsidRPr="005C182F">
        <w:rPr>
          <w:rFonts w:ascii="Tahoma" w:hAnsi="Tahoma" w:cs="Tahoma"/>
          <w:b w:val="0"/>
          <w:bCs w:val="0"/>
          <w:i/>
          <w:iCs/>
        </w:rPr>
        <w:t xml:space="preserve"> al-</w:t>
      </w:r>
      <w:proofErr w:type="spellStart"/>
      <w:r w:rsidRPr="005C182F">
        <w:rPr>
          <w:rFonts w:ascii="Tahoma" w:hAnsi="Tahoma" w:cs="Tahoma"/>
          <w:b w:val="0"/>
          <w:bCs w:val="0"/>
          <w:i/>
          <w:iCs/>
        </w:rPr>
        <w:t>shari'ah</w:t>
      </w:r>
      <w:proofErr w:type="spellEnd"/>
      <w:r w:rsidRPr="005C182F">
        <w:rPr>
          <w:rFonts w:ascii="Tahoma" w:hAnsi="Tahoma" w:cs="Tahoma"/>
          <w:b w:val="0"/>
          <w:bCs w:val="0"/>
        </w:rPr>
        <w:t xml:space="preserve">, and Islamic banking operations; and (3) sources originating from highly credible, verifiable institutions. Consequently, the final sample comprised 30 to 50 primary documents, spanning corporate annual reports, regulatory policy frameworks, institutional reviews, and peer-reviewed international journal articles. This sample size is methodologically justified as sufficient to </w:t>
      </w:r>
      <w:r w:rsidR="004F002D" w:rsidRPr="005C182F">
        <w:rPr>
          <w:rFonts w:ascii="Tahoma" w:hAnsi="Tahoma" w:cs="Tahoma"/>
          <w:b w:val="0"/>
          <w:bCs w:val="0"/>
        </w:rPr>
        <w:t xml:space="preserve">achieve data </w:t>
      </w:r>
      <w:r w:rsidR="004F002D" w:rsidRPr="005C182F">
        <w:rPr>
          <w:rFonts w:ascii="Tahoma" w:hAnsi="Tahoma" w:cs="Tahoma"/>
          <w:b w:val="0"/>
          <w:bCs w:val="0"/>
        </w:rPr>
        <w:lastRenderedPageBreak/>
        <w:t>saturation in qualitative document analysis</w:t>
      </w:r>
      <w:r w:rsidRPr="005C182F">
        <w:rPr>
          <w:rFonts w:ascii="Tahoma" w:hAnsi="Tahoma" w:cs="Tahoma"/>
          <w:b w:val="0"/>
          <w:bCs w:val="0"/>
        </w:rPr>
        <w:t xml:space="preserve"> while simultaneously facilitating robust source triangulation </w:t>
      </w:r>
      <w:r w:rsidR="001A1797" w:rsidRPr="005C182F">
        <w:rPr>
          <w:rFonts w:ascii="Tahoma" w:hAnsi="Tahoma" w:cs="Tahoma"/>
          <w:b w:val="0"/>
          <w:bCs w:val="0"/>
        </w:rPr>
        <w:fldChar w:fldCharType="begin" w:fldLock="1"/>
      </w:r>
      <w:r w:rsidR="00281CDA" w:rsidRPr="005C182F">
        <w:rPr>
          <w:rFonts w:ascii="Tahoma" w:hAnsi="Tahoma" w:cs="Tahoma"/>
          <w:b w:val="0"/>
          <w:bCs w:val="0"/>
        </w:rPr>
        <w:instrText>ADDIN CSL_CITATION {"citationItems":[{"id":"ITEM-1","itemData":{"ISBN":"9788197945700","author":[{"dropping-particle":"","family":"Sirilakshmi","given":"Y","non-dropping-particle":"","parse-names":false,"suffix":""},{"dropping-particle":"","family":"T","given":"Ashwini","non-dropping-particle":"","parse-names":false,"suffix":""},{"dropping-particle":"","family":"Gogoi","given":"Bidyut P","non-dropping-particle":"","parse-names":false,"suffix":""},{"dropping-particle":"","family":"Bhuyan","given":"Neelakshi","non-dropping-particle":"","parse-names":false,"suffix":""},{"dropping-particle":"","family":"Bunkar","given":"Ramesh Chand","non-dropping-particle":"","parse-names":false,"suffix":""}],"chapter-number":"8","container-title":"Exploring Narratives: A Guide to Qualitative Research Methods","id":"ITEM-1","issued":{"date-parts":[["2024"]]},"page":"82–97","publisher":"P.K. Publishers &amp; Distributors","publisher-place":"New Delh","title":"Content Analysis In Qualitative Research: Importance And Application","type":"chapter"},"uris":["http://www.mendeley.com/documents/?uuid=a35dfb6d-0e0e-498f-9a87-ab3af0c6acf4"]}],"mendeley":{"formattedCitation":"(Sirilakshmi et al., 2024)","plainTextFormattedCitation":"(Sirilakshmi et al., 2024)","previouslyFormattedCitation":"(Sirilakshmi et al., 2024)"},"properties":{"noteIndex":0},"schema":"https://github.com/citation-style-language/schema/raw/master/csl-citation.json"}</w:instrText>
      </w:r>
      <w:r w:rsidR="001A1797" w:rsidRPr="005C182F">
        <w:rPr>
          <w:rFonts w:ascii="Tahoma" w:hAnsi="Tahoma" w:cs="Tahoma"/>
          <w:b w:val="0"/>
          <w:bCs w:val="0"/>
        </w:rPr>
        <w:fldChar w:fldCharType="separate"/>
      </w:r>
      <w:r w:rsidR="001A1797" w:rsidRPr="005C182F">
        <w:rPr>
          <w:rFonts w:ascii="Tahoma" w:hAnsi="Tahoma" w:cs="Tahoma"/>
          <w:b w:val="0"/>
          <w:bCs w:val="0"/>
          <w:noProof/>
        </w:rPr>
        <w:t>(Sirilakshmi et al., 2024)</w:t>
      </w:r>
      <w:r w:rsidR="001A1797" w:rsidRPr="005C182F">
        <w:rPr>
          <w:rFonts w:ascii="Tahoma" w:hAnsi="Tahoma" w:cs="Tahoma"/>
          <w:b w:val="0"/>
          <w:bCs w:val="0"/>
        </w:rPr>
        <w:fldChar w:fldCharType="end"/>
      </w:r>
      <w:r w:rsidR="001A1797" w:rsidRPr="005C182F">
        <w:rPr>
          <w:rFonts w:ascii="Tahoma" w:hAnsi="Tahoma" w:cs="Tahoma"/>
          <w:b w:val="0"/>
          <w:bCs w:val="0"/>
        </w:rPr>
        <w:t>.</w:t>
      </w:r>
      <w:bookmarkStart w:id="6" w:name="_Hlk233795975"/>
      <w:bookmarkEnd w:id="5"/>
    </w:p>
    <w:p w14:paraId="568BF767" w14:textId="77777777" w:rsidR="005C182F" w:rsidRPr="005C182F" w:rsidRDefault="00242174" w:rsidP="005C182F">
      <w:pPr>
        <w:pStyle w:val="SubTopicSubJudul"/>
        <w:spacing w:before="0"/>
        <w:ind w:firstLine="567"/>
        <w:rPr>
          <w:rFonts w:ascii="Tahoma" w:hAnsi="Tahoma" w:cs="Tahoma"/>
          <w:b w:val="0"/>
          <w:bCs w:val="0"/>
        </w:rPr>
      </w:pPr>
      <w:r w:rsidRPr="005C182F">
        <w:rPr>
          <w:rFonts w:ascii="Tahoma" w:hAnsi="Tahoma" w:cs="Tahoma"/>
          <w:b w:val="0"/>
          <w:bCs w:val="0"/>
        </w:rPr>
        <w:t>In alignment with qualitative paradigms, the primary instrument of this study is the researcher (</w:t>
      </w:r>
      <w:r w:rsidRPr="005C182F">
        <w:rPr>
          <w:rFonts w:ascii="Tahoma" w:hAnsi="Tahoma" w:cs="Tahoma"/>
          <w:b w:val="0"/>
          <w:bCs w:val="0"/>
          <w:i/>
          <w:iCs/>
        </w:rPr>
        <w:t>human instrument</w:t>
      </w:r>
      <w:r w:rsidRPr="005C182F">
        <w:rPr>
          <w:rFonts w:ascii="Tahoma" w:hAnsi="Tahoma" w:cs="Tahoma"/>
          <w:b w:val="0"/>
          <w:bCs w:val="0"/>
        </w:rPr>
        <w:t xml:space="preserve">), rigorously supported by a structured document review protocol and a data extraction matrix explicitly operationalized based on SDGs dimensions and </w:t>
      </w:r>
      <w:proofErr w:type="spellStart"/>
      <w:r w:rsidRPr="005C182F">
        <w:rPr>
          <w:rFonts w:ascii="Tahoma" w:hAnsi="Tahoma" w:cs="Tahoma"/>
          <w:b w:val="0"/>
          <w:bCs w:val="0"/>
          <w:i/>
          <w:iCs/>
        </w:rPr>
        <w:t>maqashid</w:t>
      </w:r>
      <w:proofErr w:type="spellEnd"/>
      <w:r w:rsidRPr="005C182F">
        <w:rPr>
          <w:rFonts w:ascii="Tahoma" w:hAnsi="Tahoma" w:cs="Tahoma"/>
          <w:b w:val="0"/>
          <w:bCs w:val="0"/>
          <w:i/>
          <w:iCs/>
        </w:rPr>
        <w:t xml:space="preserve"> al-</w:t>
      </w:r>
      <w:proofErr w:type="spellStart"/>
      <w:r w:rsidRPr="005C182F">
        <w:rPr>
          <w:rFonts w:ascii="Tahoma" w:hAnsi="Tahoma" w:cs="Tahoma"/>
          <w:b w:val="0"/>
          <w:bCs w:val="0"/>
          <w:i/>
          <w:iCs/>
        </w:rPr>
        <w:t>shari'ah</w:t>
      </w:r>
      <w:proofErr w:type="spellEnd"/>
      <w:r w:rsidRPr="005C182F">
        <w:rPr>
          <w:rFonts w:ascii="Tahoma" w:hAnsi="Tahoma" w:cs="Tahoma"/>
          <w:b w:val="0"/>
          <w:bCs w:val="0"/>
        </w:rPr>
        <w:t xml:space="preserve"> benchmarks. This analytical matrix serves a critical functional role: it systematically identifies the typologies of Islamic banking contributions, program efficacy indicators, operational challenges, and alternative strategic trajectories for institutional capacity-building. Furthermore, utilizing this systematic, document-driven analytical framework ensures a transparent and replicable coding process. Consequently, this methodological rigor minimizes researcher bias while substantially reinforcing the study's qualitative credibility and trustworthiness</w:t>
      </w:r>
      <w:r w:rsidR="00020751" w:rsidRPr="005C182F">
        <w:rPr>
          <w:rFonts w:ascii="Tahoma" w:hAnsi="Tahoma" w:cs="Tahoma"/>
          <w:b w:val="0"/>
          <w:bCs w:val="0"/>
        </w:rPr>
        <w:t xml:space="preserve"> </w:t>
      </w:r>
      <w:r w:rsidR="00281CDA" w:rsidRPr="005C182F">
        <w:rPr>
          <w:rFonts w:ascii="Tahoma" w:hAnsi="Tahoma" w:cs="Tahoma"/>
          <w:b w:val="0"/>
          <w:bCs w:val="0"/>
        </w:rPr>
        <w:fldChar w:fldCharType="begin" w:fldLock="1"/>
      </w:r>
      <w:r w:rsidR="00020751" w:rsidRPr="005C182F">
        <w:rPr>
          <w:rFonts w:ascii="Tahoma" w:hAnsi="Tahoma" w:cs="Tahoma"/>
          <w:b w:val="0"/>
          <w:bCs w:val="0"/>
        </w:rPr>
        <w:instrText>ADDIN CSL_CITATION {"citationItems":[{"id":"ITEM-1","itemData":{"ISBN":"978-623-110-020-7","author":[{"dropping-particle":"","family":"Nurislaminingsih","given":"Rizki","non-dropping-particle":"","parse-names":false,"suffix":""}],"edition":"1","id":"ITEM-1","issued":{"date-parts":[["2024"]]},"number-of-pages":"1-170","publisher":"Intishar Publishing","publisher-place":"Kebumen","title":"Metode Penelitian Kualitatif: Teori dan Praktik","type":"book"},"uris":["http://www.mendeley.com/documents/?uuid=bc66fa39-8e89-4841-b51f-3a8423880114"]}],"mendeley":{"formattedCitation":"(Nurislaminingsih, 2024)","plainTextFormattedCitation":"(Nurislaminingsih, 2024)","previouslyFormattedCitation":"(Nurislaminingsih, 2024)"},"properties":{"noteIndex":0},"schema":"https://github.com/citation-style-language/schema/raw/master/csl-citation.json"}</w:instrText>
      </w:r>
      <w:r w:rsidR="00281CDA" w:rsidRPr="005C182F">
        <w:rPr>
          <w:rFonts w:ascii="Tahoma" w:hAnsi="Tahoma" w:cs="Tahoma"/>
          <w:b w:val="0"/>
          <w:bCs w:val="0"/>
        </w:rPr>
        <w:fldChar w:fldCharType="separate"/>
      </w:r>
      <w:r w:rsidR="00281CDA" w:rsidRPr="005C182F">
        <w:rPr>
          <w:rFonts w:ascii="Tahoma" w:hAnsi="Tahoma" w:cs="Tahoma"/>
          <w:b w:val="0"/>
          <w:bCs w:val="0"/>
          <w:noProof/>
        </w:rPr>
        <w:t>(Nurislaminingsih, 2024)</w:t>
      </w:r>
      <w:r w:rsidR="00281CDA" w:rsidRPr="005C182F">
        <w:rPr>
          <w:rFonts w:ascii="Tahoma" w:hAnsi="Tahoma" w:cs="Tahoma"/>
          <w:b w:val="0"/>
          <w:bCs w:val="0"/>
        </w:rPr>
        <w:fldChar w:fldCharType="end"/>
      </w:r>
      <w:r w:rsidR="00281CDA" w:rsidRPr="005C182F">
        <w:rPr>
          <w:rFonts w:ascii="Tahoma" w:hAnsi="Tahoma" w:cs="Tahoma"/>
          <w:b w:val="0"/>
          <w:bCs w:val="0"/>
        </w:rPr>
        <w:t>.</w:t>
      </w:r>
      <w:bookmarkEnd w:id="6"/>
    </w:p>
    <w:p w14:paraId="4EBAD42C" w14:textId="77777777" w:rsidR="005C182F" w:rsidRPr="005C182F" w:rsidRDefault="00242174" w:rsidP="005C182F">
      <w:pPr>
        <w:pStyle w:val="SubTopicSubJudul"/>
        <w:spacing w:before="0"/>
        <w:ind w:firstLine="567"/>
        <w:rPr>
          <w:rFonts w:ascii="Tahoma" w:hAnsi="Tahoma" w:cs="Tahoma"/>
          <w:b w:val="0"/>
          <w:bCs w:val="0"/>
        </w:rPr>
      </w:pPr>
      <w:r w:rsidRPr="005C182F">
        <w:rPr>
          <w:rFonts w:ascii="Tahoma" w:hAnsi="Tahoma" w:cs="Tahoma"/>
          <w:b w:val="0"/>
          <w:bCs w:val="0"/>
        </w:rPr>
        <w:t xml:space="preserve">The operational procedure of this study was systematically executed across four distinct sequential phases. The initial phase entailed the comprehensive identification and harvesting of relevant materials from academic databases, institutional disclosures, and official regulatory policy frameworks. Subsequently, the second phase subjected this initial dataset to a rigorous screening process governed by pre-established inclusion and exclusion criteria. In the third phase, the selected data underwent systematic reduction and text coding, mapped directly against categories derived from SDGs indicators and </w:t>
      </w:r>
      <w:proofErr w:type="spellStart"/>
      <w:r w:rsidRPr="005C182F">
        <w:rPr>
          <w:rFonts w:ascii="Tahoma" w:hAnsi="Tahoma" w:cs="Tahoma"/>
          <w:b w:val="0"/>
          <w:bCs w:val="0"/>
          <w:i/>
          <w:iCs/>
        </w:rPr>
        <w:t>maqashid</w:t>
      </w:r>
      <w:proofErr w:type="spellEnd"/>
      <w:r w:rsidRPr="005C182F">
        <w:rPr>
          <w:rFonts w:ascii="Tahoma" w:hAnsi="Tahoma" w:cs="Tahoma"/>
          <w:b w:val="0"/>
          <w:bCs w:val="0"/>
          <w:i/>
          <w:iCs/>
        </w:rPr>
        <w:t xml:space="preserve"> al-</w:t>
      </w:r>
      <w:proofErr w:type="spellStart"/>
      <w:r w:rsidRPr="005C182F">
        <w:rPr>
          <w:rFonts w:ascii="Tahoma" w:hAnsi="Tahoma" w:cs="Tahoma"/>
          <w:b w:val="0"/>
          <w:bCs w:val="0"/>
          <w:i/>
          <w:iCs/>
        </w:rPr>
        <w:t>shari'ah</w:t>
      </w:r>
      <w:proofErr w:type="spellEnd"/>
      <w:r w:rsidRPr="005C182F">
        <w:rPr>
          <w:rFonts w:ascii="Tahoma" w:hAnsi="Tahoma" w:cs="Tahoma"/>
          <w:b w:val="0"/>
          <w:bCs w:val="0"/>
        </w:rPr>
        <w:t xml:space="preserve"> dimensions. Finally, the fourth phase culminated in a nuanced interpretation of the empirical findings, which served as the conceptual foundation for engineering a robust strategic framework to fortify the developmental contributions of Islamic banking within the Special Region of Yogyakarta (DIY).</w:t>
      </w:r>
    </w:p>
    <w:p w14:paraId="26E4305F" w14:textId="3BC34F02" w:rsidR="00242174" w:rsidRPr="005C182F" w:rsidRDefault="00242174" w:rsidP="005C182F">
      <w:pPr>
        <w:pStyle w:val="SubTopicSubJudul"/>
        <w:spacing w:before="0"/>
        <w:ind w:firstLine="567"/>
        <w:rPr>
          <w:rFonts w:ascii="Tahoma" w:hAnsi="Tahoma" w:cs="Tahoma"/>
          <w:b w:val="0"/>
          <w:bCs w:val="0"/>
        </w:rPr>
      </w:pPr>
      <w:r w:rsidRPr="005C182F">
        <w:rPr>
          <w:rFonts w:ascii="Tahoma" w:hAnsi="Tahoma" w:cs="Tahoma"/>
          <w:b w:val="0"/>
          <w:bCs w:val="0"/>
        </w:rPr>
        <w:t>Data analysis was executed utilizing thematic content analysis, a method that facilitates the systematic identification of emerging patterns, themes, linkages, and trajectories across diverse document sources. Chronologically, the analytical process advanced through five foundational stages: data familiarization, text coding, theme development, structural review, and qualitative interpretation, reflecting contemporary qualitative research standards</w:t>
      </w:r>
      <w:r w:rsidR="00020751" w:rsidRPr="005C182F">
        <w:rPr>
          <w:rFonts w:ascii="Tahoma" w:hAnsi="Tahoma" w:cs="Tahoma"/>
          <w:b w:val="0"/>
          <w:bCs w:val="0"/>
        </w:rPr>
        <w:t xml:space="preserve"> </w:t>
      </w:r>
      <w:r w:rsidR="00020751" w:rsidRPr="005C182F">
        <w:rPr>
          <w:rFonts w:ascii="Tahoma" w:hAnsi="Tahoma" w:cs="Tahoma"/>
          <w:b w:val="0"/>
          <w:bCs w:val="0"/>
        </w:rPr>
        <w:fldChar w:fldCharType="begin" w:fldLock="1"/>
      </w:r>
      <w:r w:rsidR="00714442" w:rsidRPr="005C182F">
        <w:rPr>
          <w:rFonts w:ascii="Tahoma" w:hAnsi="Tahoma" w:cs="Tahoma"/>
          <w:b w:val="0"/>
          <w:bCs w:val="0"/>
        </w:rPr>
        <w:instrText>ADDIN CSL_CITATION {"citationItems":[{"id":"ITEM-1","itemData":{"ISBN":"978-623-110-020-7","author":[{"dropping-particle":"","family":"Nurislaminingsih","given":"Rizki","non-dropping-particle":"","parse-names":false,"suffix":""}],"edition":"1","id":"ITEM-1","issued":{"date-parts":[["2024"]]},"number-of-pages":"1-170","publisher":"Intishar Publishing","publisher-place":"Kebumen","title":"Metode Penelitian Kualitatif: Teori dan Praktik","type":"book"},"uris":["http://www.mendeley.com/documents/?uuid=bc66fa39-8e89-4841-b51f-3a8423880114"]}],"mendeley":{"formattedCitation":"(Nurislaminingsih, 2024)","plainTextFormattedCitation":"(Nurislaminingsih, 2024)","previouslyFormattedCitation":"(Nurislaminingsih, 2024)"},"properties":{"noteIndex":0},"schema":"https://github.com/citation-style-language/schema/raw/master/csl-citation.json"}</w:instrText>
      </w:r>
      <w:r w:rsidR="00020751" w:rsidRPr="005C182F">
        <w:rPr>
          <w:rFonts w:ascii="Tahoma" w:hAnsi="Tahoma" w:cs="Tahoma"/>
          <w:b w:val="0"/>
          <w:bCs w:val="0"/>
        </w:rPr>
        <w:fldChar w:fldCharType="separate"/>
      </w:r>
      <w:r w:rsidR="00020751" w:rsidRPr="005C182F">
        <w:rPr>
          <w:rFonts w:ascii="Tahoma" w:hAnsi="Tahoma" w:cs="Tahoma"/>
          <w:b w:val="0"/>
          <w:bCs w:val="0"/>
          <w:noProof/>
        </w:rPr>
        <w:t>(Nurislaminingsih, 2024)</w:t>
      </w:r>
      <w:r w:rsidR="00020751" w:rsidRPr="005C182F">
        <w:rPr>
          <w:rFonts w:ascii="Tahoma" w:hAnsi="Tahoma" w:cs="Tahoma"/>
          <w:b w:val="0"/>
          <w:bCs w:val="0"/>
        </w:rPr>
        <w:fldChar w:fldCharType="end"/>
      </w:r>
      <w:r w:rsidRPr="005C182F">
        <w:rPr>
          <w:rFonts w:ascii="Tahoma" w:hAnsi="Tahoma" w:cs="Tahoma"/>
          <w:b w:val="0"/>
          <w:bCs w:val="0"/>
        </w:rPr>
        <w:t>. To guarantee the scientific rigor of the findings, data trustworthiness was strictly maintained through comprehensive source triangulation, a detailed audit trail, and peer debriefing. This multi-pronged validation strategy ensures that the research outcomes achieve high levels of credibility, dependability, and confirmability, fully aligned with global methodological benchmarks in Islamic economics and finance.</w:t>
      </w:r>
    </w:p>
    <w:p w14:paraId="190E3AF1" w14:textId="77777777" w:rsidR="00BF2F46" w:rsidRPr="005D7FE9" w:rsidRDefault="00BF2F46" w:rsidP="00535B63">
      <w:pPr>
        <w:pStyle w:val="SubTopicSubJudul"/>
        <w:spacing w:before="0"/>
        <w:rPr>
          <w:rFonts w:ascii="Tahoma" w:hAnsi="Tahoma" w:cs="Tahoma"/>
          <w:b w:val="0"/>
          <w:bCs w:val="0"/>
          <w:lang w:bidi="bn-IN"/>
        </w:rPr>
      </w:pPr>
    </w:p>
    <w:p w14:paraId="1181A167" w14:textId="6FAF6C70" w:rsidR="004E0BA7" w:rsidRPr="005D7FE9" w:rsidRDefault="004E0BA7" w:rsidP="009E62BC">
      <w:pPr>
        <w:pStyle w:val="SubTopicSubJudul"/>
        <w:spacing w:before="0"/>
        <w:rPr>
          <w:rFonts w:ascii="Tahoma" w:hAnsi="Tahoma" w:cs="Tahoma"/>
          <w:lang w:val="id-ID"/>
        </w:rPr>
      </w:pPr>
      <w:r w:rsidRPr="005D7FE9">
        <w:rPr>
          <w:rFonts w:ascii="Tahoma" w:hAnsi="Tahoma" w:cs="Tahoma"/>
        </w:rPr>
        <w:t>Results</w:t>
      </w:r>
      <w:r w:rsidRPr="005D7FE9">
        <w:rPr>
          <w:rFonts w:ascii="Tahoma" w:hAnsi="Tahoma" w:cs="Tahoma"/>
          <w:lang w:val="id-ID"/>
        </w:rPr>
        <w:t xml:space="preserve"> and Discussion</w:t>
      </w:r>
    </w:p>
    <w:p w14:paraId="172BE91A" w14:textId="77777777" w:rsidR="000F14E4" w:rsidRDefault="001672F9" w:rsidP="000F14E4">
      <w:pPr>
        <w:pStyle w:val="NormalWeb"/>
        <w:spacing w:before="0" w:beforeAutospacing="0" w:after="0" w:afterAutospacing="0" w:line="276" w:lineRule="auto"/>
        <w:ind w:firstLine="567"/>
        <w:contextualSpacing/>
        <w:jc w:val="both"/>
        <w:rPr>
          <w:rFonts w:ascii="Tahoma" w:hAnsi="Tahoma" w:cs="Tahoma"/>
          <w:sz w:val="22"/>
          <w:szCs w:val="22"/>
        </w:rPr>
      </w:pPr>
      <w:r w:rsidRPr="001672F9">
        <w:rPr>
          <w:rFonts w:ascii="Tahoma" w:hAnsi="Tahoma" w:cs="Tahoma"/>
          <w:sz w:val="22"/>
          <w:szCs w:val="22"/>
        </w:rPr>
        <w:t xml:space="preserve">A comprehensive qualitative analysis of 42 core documents—encompassing regulatory portfolios from the Financial Services Authority (OJK), national Sharia banking industry reviews, institutional sustainability reports, official KNEKS and ASBISINDO publications, and peer-reviewed academic articles—demonstrates that Islamic banking in the Special Region of Yogyakarta (DIY) plays an increasingly strategic role in accelerating the United Nations Sustainable Development Goals (SDGs). This structural </w:t>
      </w:r>
      <w:r w:rsidRPr="001672F9">
        <w:rPr>
          <w:rFonts w:ascii="Tahoma" w:hAnsi="Tahoma" w:cs="Tahoma"/>
          <w:sz w:val="22"/>
          <w:szCs w:val="22"/>
        </w:rPr>
        <w:lastRenderedPageBreak/>
        <w:t xml:space="preserve">contribution is heavily operationalized through value-driven financial intermediation, structured empowerment for MSMEs, </w:t>
      </w:r>
      <w:r w:rsidR="004F002D">
        <w:rPr>
          <w:rFonts w:ascii="Tahoma" w:hAnsi="Tahoma" w:cs="Tahoma"/>
          <w:sz w:val="22"/>
          <w:szCs w:val="22"/>
        </w:rPr>
        <w:t xml:space="preserve">an </w:t>
      </w:r>
      <w:r w:rsidRPr="001672F9">
        <w:rPr>
          <w:rFonts w:ascii="Tahoma" w:hAnsi="Tahoma" w:cs="Tahoma"/>
          <w:sz w:val="22"/>
          <w:szCs w:val="22"/>
        </w:rPr>
        <w:t xml:space="preserve">elevated Sharia financial inclusion index, and the mobilization of socio-religious funds via Zakat, </w:t>
      </w:r>
      <w:proofErr w:type="spellStart"/>
      <w:r w:rsidRPr="001672F9">
        <w:rPr>
          <w:rFonts w:ascii="Tahoma" w:hAnsi="Tahoma" w:cs="Tahoma"/>
          <w:sz w:val="22"/>
          <w:szCs w:val="22"/>
        </w:rPr>
        <w:t>Infaq</w:t>
      </w:r>
      <w:proofErr w:type="spellEnd"/>
      <w:r w:rsidRPr="001672F9">
        <w:rPr>
          <w:rFonts w:ascii="Tahoma" w:hAnsi="Tahoma" w:cs="Tahoma"/>
          <w:sz w:val="22"/>
          <w:szCs w:val="22"/>
        </w:rPr>
        <w:t>, Alms, Waqf (ZISWAF), and Corporate Social Responsibility (CSR). Notably, by July 2025, Islamic banking assets in DIY culminated at Rp 13.59 trillion, marking a 5.51% year-on-year growth rate. This financial expansion underscores an amplified institutional capacity to underwrite productive sectors and catalyze sustainable regional economic trajectories.</w:t>
      </w:r>
    </w:p>
    <w:p w14:paraId="41D61E21" w14:textId="5C3FD06E" w:rsidR="001672F9" w:rsidRDefault="001672F9" w:rsidP="000F14E4">
      <w:pPr>
        <w:pStyle w:val="NormalWeb"/>
        <w:spacing w:before="0" w:beforeAutospacing="0" w:after="0" w:afterAutospacing="0" w:line="276" w:lineRule="auto"/>
        <w:ind w:firstLine="567"/>
        <w:contextualSpacing/>
        <w:jc w:val="both"/>
        <w:rPr>
          <w:rFonts w:ascii="Tahoma" w:hAnsi="Tahoma" w:cs="Tahoma"/>
          <w:sz w:val="22"/>
          <w:szCs w:val="22"/>
        </w:rPr>
      </w:pPr>
      <w:r w:rsidRPr="001672F9">
        <w:rPr>
          <w:rFonts w:ascii="Tahoma" w:hAnsi="Tahoma" w:cs="Tahoma"/>
          <w:sz w:val="22"/>
          <w:szCs w:val="22"/>
        </w:rPr>
        <w:t xml:space="preserve">To provide an empirical foundation </w:t>
      </w:r>
      <w:r w:rsidR="004F002D">
        <w:rPr>
          <w:rFonts w:ascii="Tahoma" w:hAnsi="Tahoma" w:cs="Tahoma"/>
          <w:sz w:val="22"/>
          <w:szCs w:val="22"/>
        </w:rPr>
        <w:t>for the sector's financial trajectory, the quantitative expansion of Sharia financial institutions in the region is systematically presented</w:t>
      </w:r>
      <w:r w:rsidRPr="001672F9">
        <w:rPr>
          <w:rFonts w:ascii="Tahoma" w:hAnsi="Tahoma" w:cs="Tahoma"/>
          <w:sz w:val="22"/>
          <w:szCs w:val="22"/>
        </w:rPr>
        <w:t xml:space="preserve"> below. The following dataset </w:t>
      </w:r>
      <w:r w:rsidR="004F002D">
        <w:rPr>
          <w:rFonts w:ascii="Tahoma" w:hAnsi="Tahoma" w:cs="Tahoma"/>
          <w:sz w:val="22"/>
          <w:szCs w:val="22"/>
        </w:rPr>
        <w:t xml:space="preserve">captures macro-financial performance metrics, specifically </w:t>
      </w:r>
      <w:r w:rsidRPr="001672F9">
        <w:rPr>
          <w:rFonts w:ascii="Tahoma" w:hAnsi="Tahoma" w:cs="Tahoma"/>
          <w:sz w:val="22"/>
          <w:szCs w:val="22"/>
        </w:rPr>
        <w:t xml:space="preserve">asset growth, financing consolidation, and third-party fund mobilization. This statistical breakdown </w:t>
      </w:r>
      <w:r w:rsidR="004F002D">
        <w:rPr>
          <w:rFonts w:ascii="Tahoma" w:hAnsi="Tahoma" w:cs="Tahoma"/>
          <w:sz w:val="22"/>
          <w:szCs w:val="22"/>
        </w:rPr>
        <w:t>provides a transparent baseline for evaluating the regional Islamic financial ecosystem's actual underwriting capacity to support</w:t>
      </w:r>
      <w:r w:rsidRPr="001672F9">
        <w:rPr>
          <w:rFonts w:ascii="Tahoma" w:hAnsi="Tahoma" w:cs="Tahoma"/>
          <w:sz w:val="22"/>
          <w:szCs w:val="22"/>
        </w:rPr>
        <w:t xml:space="preserve"> localized sustainable development agendas.</w:t>
      </w:r>
    </w:p>
    <w:p w14:paraId="59018705" w14:textId="77777777" w:rsidR="000F14E4" w:rsidRPr="001672F9" w:rsidRDefault="000F14E4" w:rsidP="000F14E4">
      <w:pPr>
        <w:pStyle w:val="NormalWeb"/>
        <w:spacing w:before="0" w:beforeAutospacing="0" w:after="0" w:afterAutospacing="0" w:line="276" w:lineRule="auto"/>
        <w:ind w:firstLine="567"/>
        <w:contextualSpacing/>
        <w:jc w:val="both"/>
        <w:rPr>
          <w:rFonts w:ascii="Tahoma" w:hAnsi="Tahoma" w:cs="Tahoma"/>
          <w:sz w:val="22"/>
          <w:szCs w:val="22"/>
        </w:rPr>
      </w:pPr>
    </w:p>
    <w:p w14:paraId="7389A847" w14:textId="1E3D4FA6" w:rsidR="008D5147" w:rsidRPr="001D5018" w:rsidRDefault="001D5018" w:rsidP="001D5018">
      <w:pPr>
        <w:pStyle w:val="Caption"/>
        <w:keepNext/>
        <w:jc w:val="center"/>
        <w:rPr>
          <w:rFonts w:ascii="Tahoma" w:hAnsi="Tahoma" w:cs="Tahoma"/>
          <w:b/>
          <w:bCs/>
          <w:i w:val="0"/>
          <w:iCs w:val="0"/>
          <w:color w:val="auto"/>
          <w:sz w:val="22"/>
          <w:szCs w:val="22"/>
        </w:rPr>
      </w:pPr>
      <w:r w:rsidRPr="001D5018">
        <w:rPr>
          <w:rFonts w:ascii="Tahoma" w:hAnsi="Tahoma" w:cs="Tahoma"/>
          <w:b/>
          <w:bCs/>
          <w:i w:val="0"/>
          <w:iCs w:val="0"/>
          <w:color w:val="auto"/>
          <w:sz w:val="22"/>
          <w:szCs w:val="22"/>
        </w:rPr>
        <w:t xml:space="preserve">Table </w:t>
      </w:r>
      <w:r w:rsidRPr="001D5018">
        <w:rPr>
          <w:rFonts w:ascii="Tahoma" w:hAnsi="Tahoma" w:cs="Tahoma"/>
          <w:b/>
          <w:bCs/>
          <w:i w:val="0"/>
          <w:iCs w:val="0"/>
          <w:color w:val="auto"/>
          <w:sz w:val="22"/>
          <w:szCs w:val="22"/>
        </w:rPr>
        <w:fldChar w:fldCharType="begin"/>
      </w:r>
      <w:r w:rsidRPr="001D5018">
        <w:rPr>
          <w:rFonts w:ascii="Tahoma" w:hAnsi="Tahoma" w:cs="Tahoma"/>
          <w:b/>
          <w:bCs/>
          <w:i w:val="0"/>
          <w:iCs w:val="0"/>
          <w:color w:val="auto"/>
          <w:sz w:val="22"/>
          <w:szCs w:val="22"/>
        </w:rPr>
        <w:instrText xml:space="preserve"> SEQ Table \* ARABIC </w:instrText>
      </w:r>
      <w:r w:rsidRPr="001D5018">
        <w:rPr>
          <w:rFonts w:ascii="Tahoma" w:hAnsi="Tahoma" w:cs="Tahoma"/>
          <w:b/>
          <w:bCs/>
          <w:i w:val="0"/>
          <w:iCs w:val="0"/>
          <w:color w:val="auto"/>
          <w:sz w:val="22"/>
          <w:szCs w:val="22"/>
        </w:rPr>
        <w:fldChar w:fldCharType="separate"/>
      </w:r>
      <w:r w:rsidR="00484B8B">
        <w:rPr>
          <w:rFonts w:ascii="Tahoma" w:hAnsi="Tahoma" w:cs="Tahoma"/>
          <w:b/>
          <w:bCs/>
          <w:i w:val="0"/>
          <w:iCs w:val="0"/>
          <w:noProof/>
          <w:color w:val="auto"/>
          <w:sz w:val="22"/>
          <w:szCs w:val="22"/>
        </w:rPr>
        <w:t>1</w:t>
      </w:r>
      <w:r w:rsidRPr="001D5018">
        <w:rPr>
          <w:rFonts w:ascii="Tahoma" w:hAnsi="Tahoma" w:cs="Tahoma"/>
          <w:b/>
          <w:bCs/>
          <w:i w:val="0"/>
          <w:iCs w:val="0"/>
          <w:color w:val="auto"/>
          <w:sz w:val="22"/>
          <w:szCs w:val="22"/>
        </w:rPr>
        <w:fldChar w:fldCharType="end"/>
      </w:r>
      <w:r w:rsidRPr="001D5018">
        <w:rPr>
          <w:rFonts w:ascii="Tahoma" w:hAnsi="Tahoma" w:cs="Tahoma"/>
          <w:b/>
          <w:bCs/>
          <w:i w:val="0"/>
          <w:iCs w:val="0"/>
          <w:color w:val="auto"/>
          <w:sz w:val="22"/>
          <w:szCs w:val="22"/>
        </w:rPr>
        <w:t>.</w:t>
      </w:r>
      <w:r>
        <w:rPr>
          <w:rFonts w:ascii="Tahoma" w:hAnsi="Tahoma" w:cs="Tahoma"/>
          <w:b/>
          <w:bCs/>
          <w:i w:val="0"/>
          <w:iCs w:val="0"/>
          <w:color w:val="auto"/>
          <w:sz w:val="22"/>
          <w:szCs w:val="22"/>
        </w:rPr>
        <w:t xml:space="preserve"> </w:t>
      </w:r>
      <w:r w:rsidRPr="001D5018">
        <w:rPr>
          <w:rFonts w:ascii="Tahoma" w:hAnsi="Tahoma" w:cs="Tahoma"/>
          <w:b/>
          <w:bCs/>
          <w:i w:val="0"/>
          <w:iCs w:val="0"/>
          <w:color w:val="auto"/>
          <w:sz w:val="22"/>
          <w:szCs w:val="22"/>
        </w:rPr>
        <w:t>Development of Key Indicators of Islamic Banking in the Special Region of Yogyakarta (DIY) in 2025</w:t>
      </w:r>
    </w:p>
    <w:tbl>
      <w:tblPr>
        <w:tblStyle w:val="PlainTable2"/>
        <w:tblW w:w="8506" w:type="dxa"/>
        <w:tblLook w:val="04A0" w:firstRow="1" w:lastRow="0" w:firstColumn="1" w:lastColumn="0" w:noHBand="0" w:noVBand="1"/>
      </w:tblPr>
      <w:tblGrid>
        <w:gridCol w:w="2991"/>
        <w:gridCol w:w="2343"/>
        <w:gridCol w:w="1354"/>
        <w:gridCol w:w="1818"/>
      </w:tblGrid>
      <w:tr w:rsidR="00896FCD" w:rsidRPr="001672F9" w14:paraId="27375CCA" w14:textId="77777777" w:rsidTr="006856FB">
        <w:trPr>
          <w:cnfStyle w:val="100000000000" w:firstRow="1" w:lastRow="0" w:firstColumn="0" w:lastColumn="0" w:oddVBand="0" w:evenVBand="0" w:oddHBand="0" w:evenHBand="0" w:firstRowFirstColumn="0" w:firstRowLastColumn="0" w:lastRowFirstColumn="0" w:lastRowLastColumn="0"/>
          <w:trHeight w:val="634"/>
          <w:tblHeader/>
        </w:trPr>
        <w:tc>
          <w:tcPr>
            <w:cnfStyle w:val="001000000000" w:firstRow="0" w:lastRow="0" w:firstColumn="1" w:lastColumn="0" w:oddVBand="0" w:evenVBand="0" w:oddHBand="0" w:evenHBand="0" w:firstRowFirstColumn="0" w:firstRowLastColumn="0" w:lastRowFirstColumn="0" w:lastRowLastColumn="0"/>
            <w:tcW w:w="3096" w:type="dxa"/>
            <w:tcBorders>
              <w:top w:val="single" w:sz="4" w:space="0" w:color="7F7F7F" w:themeColor="text1" w:themeTint="80"/>
              <w:right w:val="single" w:sz="4" w:space="0" w:color="auto"/>
            </w:tcBorders>
            <w:hideMark/>
          </w:tcPr>
          <w:p w14:paraId="19101810" w14:textId="77777777" w:rsidR="001672F9" w:rsidRPr="001672F9" w:rsidRDefault="001672F9" w:rsidP="00896FCD">
            <w:pPr>
              <w:contextualSpacing/>
              <w:jc w:val="center"/>
              <w:rPr>
                <w:rFonts w:ascii="Tahoma" w:hAnsi="Tahoma" w:cs="Tahoma"/>
                <w:b w:val="0"/>
                <w:color w:val="000000" w:themeColor="text1"/>
                <w:sz w:val="22"/>
                <w:szCs w:val="22"/>
              </w:rPr>
            </w:pPr>
            <w:r w:rsidRPr="001672F9">
              <w:rPr>
                <w:rFonts w:ascii="Tahoma" w:hAnsi="Tahoma" w:cs="Tahoma"/>
                <w:color w:val="000000" w:themeColor="text1"/>
                <w:sz w:val="22"/>
                <w:szCs w:val="22"/>
              </w:rPr>
              <w:t>Sharia Banking Indicators (DIY)</w:t>
            </w:r>
          </w:p>
        </w:tc>
        <w:tc>
          <w:tcPr>
            <w:tcW w:w="2424" w:type="dxa"/>
            <w:tcBorders>
              <w:top w:val="single" w:sz="4" w:space="0" w:color="7F7F7F" w:themeColor="text1" w:themeTint="80"/>
              <w:left w:val="single" w:sz="4" w:space="0" w:color="auto"/>
              <w:right w:val="single" w:sz="4" w:space="0" w:color="auto"/>
            </w:tcBorders>
            <w:hideMark/>
          </w:tcPr>
          <w:p w14:paraId="1977E4EC" w14:textId="77777777" w:rsidR="001672F9" w:rsidRPr="001672F9" w:rsidRDefault="001672F9" w:rsidP="00896FCD">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color w:val="000000" w:themeColor="text1"/>
                <w:sz w:val="22"/>
                <w:szCs w:val="22"/>
              </w:rPr>
            </w:pPr>
            <w:r w:rsidRPr="001672F9">
              <w:rPr>
                <w:rFonts w:ascii="Tahoma" w:hAnsi="Tahoma" w:cs="Tahoma"/>
                <w:color w:val="000000" w:themeColor="text1"/>
                <w:sz w:val="22"/>
                <w:szCs w:val="22"/>
              </w:rPr>
              <w:t xml:space="preserve">Value </w:t>
            </w:r>
          </w:p>
          <w:p w14:paraId="2795F3AC" w14:textId="77777777" w:rsidR="001672F9" w:rsidRPr="001672F9" w:rsidRDefault="001672F9" w:rsidP="00896FCD">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color w:val="000000" w:themeColor="text1"/>
                <w:sz w:val="22"/>
                <w:szCs w:val="22"/>
              </w:rPr>
            </w:pPr>
            <w:r w:rsidRPr="001672F9">
              <w:rPr>
                <w:rFonts w:ascii="Tahoma" w:hAnsi="Tahoma" w:cs="Tahoma"/>
                <w:color w:val="000000" w:themeColor="text1"/>
                <w:sz w:val="22"/>
                <w:szCs w:val="22"/>
              </w:rPr>
              <w:t>(IDR Trillion)</w:t>
            </w:r>
          </w:p>
        </w:tc>
        <w:tc>
          <w:tcPr>
            <w:tcW w:w="1374" w:type="dxa"/>
            <w:tcBorders>
              <w:top w:val="single" w:sz="4" w:space="0" w:color="7F7F7F" w:themeColor="text1" w:themeTint="80"/>
              <w:left w:val="single" w:sz="4" w:space="0" w:color="auto"/>
              <w:right w:val="single" w:sz="4" w:space="0" w:color="auto"/>
            </w:tcBorders>
            <w:hideMark/>
          </w:tcPr>
          <w:p w14:paraId="3EB1E154" w14:textId="77777777" w:rsidR="001672F9" w:rsidRPr="001672F9" w:rsidRDefault="001672F9" w:rsidP="00896FCD">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color w:val="000000" w:themeColor="text1"/>
                <w:sz w:val="22"/>
                <w:szCs w:val="22"/>
              </w:rPr>
            </w:pPr>
            <w:r w:rsidRPr="001672F9">
              <w:rPr>
                <w:rFonts w:ascii="Tahoma" w:hAnsi="Tahoma" w:cs="Tahoma"/>
                <w:color w:val="000000" w:themeColor="text1"/>
                <w:sz w:val="22"/>
                <w:szCs w:val="22"/>
              </w:rPr>
              <w:t>Annual Growth</w:t>
            </w:r>
          </w:p>
        </w:tc>
        <w:tc>
          <w:tcPr>
            <w:tcW w:w="1612" w:type="dxa"/>
            <w:tcBorders>
              <w:left w:val="single" w:sz="4" w:space="0" w:color="auto"/>
            </w:tcBorders>
            <w:hideMark/>
          </w:tcPr>
          <w:p w14:paraId="491E372C" w14:textId="77777777" w:rsidR="001672F9" w:rsidRPr="001672F9" w:rsidRDefault="001672F9" w:rsidP="00896FCD">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color w:val="000000" w:themeColor="text1"/>
                <w:sz w:val="22"/>
                <w:szCs w:val="22"/>
              </w:rPr>
            </w:pPr>
            <w:r w:rsidRPr="001672F9">
              <w:rPr>
                <w:rFonts w:ascii="Tahoma" w:hAnsi="Tahoma" w:cs="Tahoma"/>
                <w:color w:val="000000" w:themeColor="text1"/>
                <w:sz w:val="22"/>
                <w:szCs w:val="22"/>
              </w:rPr>
              <w:t>Highest Growth Sector/Details</w:t>
            </w:r>
          </w:p>
        </w:tc>
      </w:tr>
      <w:tr w:rsidR="00896FCD" w:rsidRPr="001672F9" w14:paraId="2176AA2C" w14:textId="77777777" w:rsidTr="00896F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Borders>
              <w:right w:val="single" w:sz="4" w:space="0" w:color="auto"/>
            </w:tcBorders>
            <w:hideMark/>
          </w:tcPr>
          <w:p w14:paraId="11EF8801" w14:textId="77777777" w:rsidR="001672F9" w:rsidRPr="00896FCD" w:rsidRDefault="001672F9" w:rsidP="00896FCD">
            <w:pPr>
              <w:pStyle w:val="NormalWeb"/>
              <w:spacing w:before="0" w:beforeAutospacing="0" w:after="0" w:afterAutospacing="0"/>
              <w:contextualSpacing/>
              <w:rPr>
                <w:rStyle w:val="citation-37"/>
                <w:rFonts w:ascii="Tahoma" w:hAnsi="Tahoma" w:cs="Tahoma"/>
                <w:b w:val="0"/>
                <w:bCs w:val="0"/>
                <w:color w:val="000000" w:themeColor="text1"/>
                <w:sz w:val="22"/>
                <w:szCs w:val="22"/>
              </w:rPr>
            </w:pPr>
            <w:r w:rsidRPr="00896FCD">
              <w:rPr>
                <w:rStyle w:val="citation-37"/>
                <w:rFonts w:ascii="Tahoma" w:hAnsi="Tahoma" w:cs="Tahoma"/>
                <w:b w:val="0"/>
                <w:bCs w:val="0"/>
                <w:color w:val="000000" w:themeColor="text1"/>
                <w:sz w:val="22"/>
                <w:szCs w:val="22"/>
              </w:rPr>
              <w:t>Total Assets</w:t>
            </w:r>
          </w:p>
          <w:p w14:paraId="2D4140F1" w14:textId="77777777" w:rsidR="001672F9" w:rsidRPr="00896FCD" w:rsidRDefault="001672F9" w:rsidP="00896FCD">
            <w:pPr>
              <w:pStyle w:val="NormalWeb"/>
              <w:spacing w:before="0" w:beforeAutospacing="0" w:after="0" w:afterAutospacing="0"/>
              <w:contextualSpacing/>
              <w:rPr>
                <w:rFonts w:ascii="Tahoma" w:hAnsi="Tahoma" w:cs="Tahoma"/>
                <w:b w:val="0"/>
                <w:bCs w:val="0"/>
                <w:color w:val="000000" w:themeColor="text1"/>
                <w:sz w:val="22"/>
                <w:szCs w:val="22"/>
              </w:rPr>
            </w:pPr>
            <w:r w:rsidRPr="00896FCD">
              <w:rPr>
                <w:rStyle w:val="citation-37"/>
                <w:rFonts w:ascii="Tahoma" w:hAnsi="Tahoma" w:cs="Tahoma"/>
                <w:b w:val="0"/>
                <w:bCs w:val="0"/>
                <w:color w:val="000000" w:themeColor="text1"/>
                <w:sz w:val="22"/>
                <w:szCs w:val="22"/>
              </w:rPr>
              <w:t>(As of July 2025)</w:t>
            </w:r>
          </w:p>
        </w:tc>
        <w:tc>
          <w:tcPr>
            <w:tcW w:w="2424" w:type="dxa"/>
            <w:tcBorders>
              <w:left w:val="single" w:sz="4" w:space="0" w:color="auto"/>
              <w:right w:val="single" w:sz="4" w:space="0" w:color="auto"/>
            </w:tcBorders>
            <w:hideMark/>
          </w:tcPr>
          <w:p w14:paraId="3B652854" w14:textId="77777777" w:rsidR="001672F9" w:rsidRPr="001672F9" w:rsidRDefault="001672F9" w:rsidP="00896FCD">
            <w:pPr>
              <w:pStyle w:val="NormalWeb"/>
              <w:spacing w:before="0" w:beforeAutospacing="0" w:after="0" w:afterAutospacing="0"/>
              <w:contextualSpacing/>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sidRPr="001672F9">
              <w:rPr>
                <w:rStyle w:val="citation-36"/>
                <w:rFonts w:ascii="Tahoma" w:hAnsi="Tahoma" w:cs="Tahoma"/>
                <w:color w:val="000000" w:themeColor="text1"/>
                <w:sz w:val="22"/>
                <w:szCs w:val="22"/>
              </w:rPr>
              <w:t>Rp 13.59</w:t>
            </w:r>
          </w:p>
        </w:tc>
        <w:tc>
          <w:tcPr>
            <w:tcW w:w="1374" w:type="dxa"/>
            <w:tcBorders>
              <w:left w:val="single" w:sz="4" w:space="0" w:color="auto"/>
              <w:right w:val="single" w:sz="4" w:space="0" w:color="auto"/>
            </w:tcBorders>
            <w:hideMark/>
          </w:tcPr>
          <w:p w14:paraId="32C902FF" w14:textId="77777777" w:rsidR="001672F9" w:rsidRPr="001672F9" w:rsidRDefault="001672F9" w:rsidP="00896FCD">
            <w:pPr>
              <w:pStyle w:val="NormalWeb"/>
              <w:spacing w:before="0" w:beforeAutospacing="0" w:after="0" w:afterAutospacing="0"/>
              <w:contextualSpacing/>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sidRPr="001672F9">
              <w:rPr>
                <w:rStyle w:val="citation-35"/>
                <w:rFonts w:ascii="Tahoma" w:hAnsi="Tahoma" w:cs="Tahoma"/>
                <w:color w:val="000000" w:themeColor="text1"/>
                <w:sz w:val="22"/>
                <w:szCs w:val="22"/>
              </w:rPr>
              <w:t>5.51%</w:t>
            </w:r>
          </w:p>
          <w:p w14:paraId="6484BA5D" w14:textId="77777777" w:rsidR="001672F9" w:rsidRPr="001672F9" w:rsidRDefault="001672F9" w:rsidP="00896FCD">
            <w:pPr>
              <w:contextualSpacing/>
              <w:jc w:val="center"/>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p>
        </w:tc>
        <w:tc>
          <w:tcPr>
            <w:tcW w:w="1612" w:type="dxa"/>
            <w:tcBorders>
              <w:left w:val="single" w:sz="4" w:space="0" w:color="auto"/>
            </w:tcBorders>
            <w:hideMark/>
          </w:tcPr>
          <w:p w14:paraId="52EE77CC" w14:textId="77777777" w:rsidR="001672F9" w:rsidRPr="001672F9" w:rsidRDefault="001672F9" w:rsidP="00896FCD">
            <w:pPr>
              <w:contextualSpacing/>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sidRPr="001672F9">
              <w:rPr>
                <w:rStyle w:val="citation-34"/>
                <w:rFonts w:ascii="Tahoma" w:hAnsi="Tahoma" w:cs="Tahoma"/>
                <w:color w:val="000000" w:themeColor="text1"/>
                <w:sz w:val="22"/>
                <w:szCs w:val="22"/>
              </w:rPr>
              <w:t>Demonstrates an increase in regional institutional capacity.</w:t>
            </w:r>
          </w:p>
        </w:tc>
      </w:tr>
      <w:tr w:rsidR="00896FCD" w:rsidRPr="001672F9" w14:paraId="13E2CE73" w14:textId="77777777" w:rsidTr="00896FCD">
        <w:trPr>
          <w:trHeight w:val="1031"/>
        </w:trPr>
        <w:tc>
          <w:tcPr>
            <w:cnfStyle w:val="001000000000" w:firstRow="0" w:lastRow="0" w:firstColumn="1" w:lastColumn="0" w:oddVBand="0" w:evenVBand="0" w:oddHBand="0" w:evenHBand="0" w:firstRowFirstColumn="0" w:firstRowLastColumn="0" w:lastRowFirstColumn="0" w:lastRowLastColumn="0"/>
            <w:tcW w:w="3096" w:type="dxa"/>
            <w:tcBorders>
              <w:top w:val="single" w:sz="4" w:space="0" w:color="7F7F7F" w:themeColor="text1" w:themeTint="80"/>
              <w:bottom w:val="single" w:sz="4" w:space="0" w:color="7F7F7F" w:themeColor="text1" w:themeTint="80"/>
              <w:right w:val="single" w:sz="4" w:space="0" w:color="auto"/>
            </w:tcBorders>
            <w:hideMark/>
          </w:tcPr>
          <w:p w14:paraId="606B2463" w14:textId="77777777" w:rsidR="001672F9" w:rsidRPr="00896FCD" w:rsidRDefault="001672F9" w:rsidP="00896FCD">
            <w:pPr>
              <w:pStyle w:val="NormalWeb"/>
              <w:spacing w:before="0" w:beforeAutospacing="0" w:after="0" w:afterAutospacing="0"/>
              <w:contextualSpacing/>
              <w:rPr>
                <w:rStyle w:val="citation-33"/>
                <w:rFonts w:ascii="Tahoma" w:eastAsiaTheme="majorEastAsia" w:hAnsi="Tahoma" w:cs="Tahoma"/>
                <w:b w:val="0"/>
                <w:bCs w:val="0"/>
                <w:color w:val="000000" w:themeColor="text1"/>
                <w:sz w:val="22"/>
                <w:szCs w:val="22"/>
              </w:rPr>
            </w:pPr>
            <w:r w:rsidRPr="00896FCD">
              <w:rPr>
                <w:rStyle w:val="citation-33"/>
                <w:rFonts w:ascii="Tahoma" w:eastAsiaTheme="majorEastAsia" w:hAnsi="Tahoma" w:cs="Tahoma"/>
                <w:b w:val="0"/>
                <w:bCs w:val="0"/>
                <w:color w:val="000000" w:themeColor="text1"/>
                <w:sz w:val="22"/>
                <w:szCs w:val="22"/>
              </w:rPr>
              <w:t>Total Financing</w:t>
            </w:r>
          </w:p>
          <w:p w14:paraId="095FD1F8" w14:textId="77777777" w:rsidR="001672F9" w:rsidRPr="00896FCD" w:rsidRDefault="001672F9" w:rsidP="00896FCD">
            <w:pPr>
              <w:pStyle w:val="NormalWeb"/>
              <w:spacing w:before="0" w:beforeAutospacing="0" w:after="0" w:afterAutospacing="0"/>
              <w:contextualSpacing/>
              <w:rPr>
                <w:rFonts w:ascii="Tahoma" w:eastAsiaTheme="majorEastAsia" w:hAnsi="Tahoma" w:cs="Tahoma"/>
                <w:b w:val="0"/>
                <w:bCs w:val="0"/>
                <w:color w:val="000000" w:themeColor="text1"/>
                <w:sz w:val="22"/>
                <w:szCs w:val="22"/>
              </w:rPr>
            </w:pPr>
            <w:r w:rsidRPr="00896FCD">
              <w:rPr>
                <w:rStyle w:val="citation-33"/>
                <w:rFonts w:ascii="Tahoma" w:eastAsiaTheme="majorEastAsia" w:hAnsi="Tahoma" w:cs="Tahoma"/>
                <w:b w:val="0"/>
                <w:bCs w:val="0"/>
                <w:color w:val="000000" w:themeColor="text1"/>
                <w:sz w:val="22"/>
                <w:szCs w:val="22"/>
              </w:rPr>
              <w:t>(As of August 2025)</w:t>
            </w:r>
          </w:p>
        </w:tc>
        <w:tc>
          <w:tcPr>
            <w:tcW w:w="2424" w:type="dxa"/>
            <w:tcBorders>
              <w:top w:val="single" w:sz="4" w:space="0" w:color="7F7F7F" w:themeColor="text1" w:themeTint="80"/>
              <w:left w:val="single" w:sz="4" w:space="0" w:color="auto"/>
              <w:bottom w:val="single" w:sz="4" w:space="0" w:color="7F7F7F" w:themeColor="text1" w:themeTint="80"/>
              <w:right w:val="single" w:sz="4" w:space="0" w:color="auto"/>
            </w:tcBorders>
            <w:hideMark/>
          </w:tcPr>
          <w:p w14:paraId="3C06CF11" w14:textId="77777777" w:rsidR="001672F9" w:rsidRPr="001672F9" w:rsidRDefault="001672F9" w:rsidP="00896FCD">
            <w:pPr>
              <w:pStyle w:val="NormalWeb"/>
              <w:spacing w:before="0" w:beforeAutospacing="0" w:after="0" w:afterAutospacing="0"/>
              <w:contextualSpacing/>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22"/>
                <w:szCs w:val="22"/>
              </w:rPr>
            </w:pPr>
            <w:r w:rsidRPr="001672F9">
              <w:rPr>
                <w:rStyle w:val="citation-32"/>
                <w:rFonts w:ascii="Tahoma" w:hAnsi="Tahoma" w:cs="Tahoma"/>
                <w:color w:val="000000" w:themeColor="text1"/>
                <w:sz w:val="22"/>
                <w:szCs w:val="22"/>
              </w:rPr>
              <w:t>Rp 65.66</w:t>
            </w:r>
          </w:p>
          <w:p w14:paraId="6C428CF3" w14:textId="77777777" w:rsidR="001672F9" w:rsidRPr="001672F9" w:rsidRDefault="001672F9" w:rsidP="00896FCD">
            <w:pPr>
              <w:contextualSpacing/>
              <w:jc w:val="center"/>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22"/>
                <w:szCs w:val="22"/>
              </w:rPr>
            </w:pPr>
          </w:p>
        </w:tc>
        <w:tc>
          <w:tcPr>
            <w:tcW w:w="1374" w:type="dxa"/>
            <w:tcBorders>
              <w:top w:val="single" w:sz="4" w:space="0" w:color="7F7F7F" w:themeColor="text1" w:themeTint="80"/>
              <w:left w:val="single" w:sz="4" w:space="0" w:color="auto"/>
              <w:bottom w:val="single" w:sz="4" w:space="0" w:color="7F7F7F" w:themeColor="text1" w:themeTint="80"/>
              <w:right w:val="single" w:sz="4" w:space="0" w:color="auto"/>
            </w:tcBorders>
            <w:hideMark/>
          </w:tcPr>
          <w:p w14:paraId="502634F2" w14:textId="77777777" w:rsidR="001672F9" w:rsidRPr="001672F9" w:rsidRDefault="001672F9" w:rsidP="00896FCD">
            <w:pPr>
              <w:pStyle w:val="NormalWeb"/>
              <w:spacing w:before="0" w:beforeAutospacing="0" w:after="0" w:afterAutospacing="0"/>
              <w:contextualSpacing/>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22"/>
                <w:szCs w:val="22"/>
              </w:rPr>
            </w:pPr>
            <w:r w:rsidRPr="001672F9">
              <w:rPr>
                <w:rStyle w:val="citation-31"/>
                <w:rFonts w:ascii="Tahoma" w:hAnsi="Tahoma" w:cs="Tahoma"/>
                <w:color w:val="000000" w:themeColor="text1"/>
                <w:sz w:val="22"/>
                <w:szCs w:val="22"/>
              </w:rPr>
              <w:t>5.51%</w:t>
            </w:r>
          </w:p>
          <w:p w14:paraId="64CA0CB1" w14:textId="77777777" w:rsidR="001672F9" w:rsidRPr="001672F9" w:rsidRDefault="001672F9" w:rsidP="00896FCD">
            <w:pPr>
              <w:contextualSpacing/>
              <w:jc w:val="center"/>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22"/>
                <w:szCs w:val="22"/>
              </w:rPr>
            </w:pPr>
          </w:p>
        </w:tc>
        <w:tc>
          <w:tcPr>
            <w:tcW w:w="1612" w:type="dxa"/>
            <w:tcBorders>
              <w:left w:val="single" w:sz="4" w:space="0" w:color="auto"/>
            </w:tcBorders>
            <w:hideMark/>
          </w:tcPr>
          <w:p w14:paraId="3655C7E8" w14:textId="77777777" w:rsidR="001672F9" w:rsidRPr="001672F9" w:rsidRDefault="001672F9" w:rsidP="00896FCD">
            <w:pPr>
              <w:pStyle w:val="NormalWeb"/>
              <w:spacing w:before="0" w:beforeAutospacing="0" w:after="0" w:afterAutospacing="0"/>
              <w:contextualSpacing/>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22"/>
                <w:szCs w:val="22"/>
              </w:rPr>
            </w:pPr>
            <w:r w:rsidRPr="001672F9">
              <w:rPr>
                <w:rStyle w:val="citation-30"/>
                <w:rFonts w:ascii="Tahoma" w:hAnsi="Tahoma" w:cs="Tahoma"/>
                <w:color w:val="000000" w:themeColor="text1"/>
                <w:sz w:val="22"/>
                <w:szCs w:val="22"/>
              </w:rPr>
              <w:t>Dominated by the productive sector, public administration, health, social activities, and rental and business support services.</w:t>
            </w:r>
          </w:p>
        </w:tc>
      </w:tr>
      <w:tr w:rsidR="00896FCD" w:rsidRPr="001672F9" w14:paraId="7BC3E9E7" w14:textId="77777777" w:rsidTr="00896F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Borders>
              <w:right w:val="single" w:sz="4" w:space="0" w:color="auto"/>
            </w:tcBorders>
            <w:hideMark/>
          </w:tcPr>
          <w:p w14:paraId="7F16C9F8" w14:textId="77777777" w:rsidR="001672F9" w:rsidRPr="00896FCD" w:rsidRDefault="001672F9" w:rsidP="00896FCD">
            <w:pPr>
              <w:contextualSpacing/>
              <w:rPr>
                <w:rFonts w:ascii="Tahoma" w:hAnsi="Tahoma" w:cs="Tahoma"/>
                <w:b w:val="0"/>
                <w:bCs w:val="0"/>
                <w:color w:val="000000" w:themeColor="text1"/>
                <w:sz w:val="22"/>
                <w:szCs w:val="22"/>
              </w:rPr>
            </w:pPr>
            <w:r w:rsidRPr="00896FCD">
              <w:rPr>
                <w:rFonts w:ascii="Tahoma" w:hAnsi="Tahoma" w:cs="Tahoma"/>
                <w:b w:val="0"/>
                <w:bCs w:val="0"/>
                <w:color w:val="000000" w:themeColor="text1"/>
                <w:sz w:val="22"/>
                <w:szCs w:val="22"/>
              </w:rPr>
              <w:t>Third-Party Funds (TPF)</w:t>
            </w:r>
          </w:p>
        </w:tc>
        <w:tc>
          <w:tcPr>
            <w:tcW w:w="2424" w:type="dxa"/>
            <w:tcBorders>
              <w:left w:val="single" w:sz="4" w:space="0" w:color="auto"/>
              <w:right w:val="single" w:sz="4" w:space="0" w:color="auto"/>
            </w:tcBorders>
            <w:hideMark/>
          </w:tcPr>
          <w:p w14:paraId="284F3824" w14:textId="77777777" w:rsidR="001672F9" w:rsidRPr="001672F9" w:rsidRDefault="001672F9" w:rsidP="00896FCD">
            <w:pPr>
              <w:contextualSpacing/>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sidRPr="001672F9">
              <w:rPr>
                <w:rFonts w:ascii="Tahoma" w:hAnsi="Tahoma" w:cs="Tahoma"/>
                <w:color w:val="000000" w:themeColor="text1"/>
                <w:sz w:val="22"/>
                <w:szCs w:val="22"/>
              </w:rPr>
              <w:t>Rp 11.20</w:t>
            </w:r>
          </w:p>
        </w:tc>
        <w:tc>
          <w:tcPr>
            <w:tcW w:w="1374" w:type="dxa"/>
            <w:tcBorders>
              <w:left w:val="single" w:sz="4" w:space="0" w:color="auto"/>
              <w:right w:val="single" w:sz="4" w:space="0" w:color="auto"/>
            </w:tcBorders>
            <w:hideMark/>
          </w:tcPr>
          <w:p w14:paraId="0229791A" w14:textId="77777777" w:rsidR="001672F9" w:rsidRPr="001672F9" w:rsidRDefault="001672F9" w:rsidP="00896FCD">
            <w:pPr>
              <w:contextualSpacing/>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sidRPr="001672F9">
              <w:rPr>
                <w:rFonts w:ascii="Tahoma" w:hAnsi="Tahoma" w:cs="Tahoma"/>
                <w:color w:val="000000" w:themeColor="text1"/>
                <w:sz w:val="22"/>
                <w:szCs w:val="22"/>
              </w:rPr>
              <w:t>4.85%</w:t>
            </w:r>
          </w:p>
        </w:tc>
        <w:tc>
          <w:tcPr>
            <w:tcW w:w="1612" w:type="dxa"/>
            <w:tcBorders>
              <w:left w:val="single" w:sz="4" w:space="0" w:color="auto"/>
            </w:tcBorders>
            <w:hideMark/>
          </w:tcPr>
          <w:p w14:paraId="0C177A85" w14:textId="42178387" w:rsidR="001672F9" w:rsidRPr="001672F9" w:rsidRDefault="004F002D" w:rsidP="00896FC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Pr>
                <w:rFonts w:ascii="Tahoma" w:hAnsi="Tahoma" w:cs="Tahoma"/>
                <w:color w:val="000000" w:themeColor="text1"/>
                <w:sz w:val="22"/>
                <w:szCs w:val="22"/>
              </w:rPr>
              <w:t xml:space="preserve">Savings products and </w:t>
            </w:r>
            <w:proofErr w:type="spellStart"/>
            <w:r>
              <w:rPr>
                <w:rFonts w:ascii="Tahoma" w:hAnsi="Tahoma" w:cs="Tahoma"/>
                <w:color w:val="000000" w:themeColor="text1"/>
                <w:sz w:val="22"/>
                <w:szCs w:val="22"/>
              </w:rPr>
              <w:t>mudharabah</w:t>
            </w:r>
            <w:proofErr w:type="spellEnd"/>
            <w:r>
              <w:rPr>
                <w:rFonts w:ascii="Tahoma" w:hAnsi="Tahoma" w:cs="Tahoma"/>
                <w:color w:val="000000" w:themeColor="text1"/>
                <w:sz w:val="22"/>
                <w:szCs w:val="22"/>
              </w:rPr>
              <w:t xml:space="preserve"> time deposits dominate fund-raising activities</w:t>
            </w:r>
            <w:r w:rsidR="001672F9" w:rsidRPr="001672F9">
              <w:rPr>
                <w:rFonts w:ascii="Tahoma" w:hAnsi="Tahoma" w:cs="Tahoma"/>
                <w:color w:val="000000" w:themeColor="text1"/>
                <w:sz w:val="22"/>
                <w:szCs w:val="22"/>
              </w:rPr>
              <w:t>.</w:t>
            </w:r>
          </w:p>
        </w:tc>
      </w:tr>
      <w:tr w:rsidR="00896FCD" w:rsidRPr="001672F9" w14:paraId="672B19C6" w14:textId="77777777" w:rsidTr="00896FCD">
        <w:tc>
          <w:tcPr>
            <w:cnfStyle w:val="001000000000" w:firstRow="0" w:lastRow="0" w:firstColumn="1" w:lastColumn="0" w:oddVBand="0" w:evenVBand="0" w:oddHBand="0" w:evenHBand="0" w:firstRowFirstColumn="0" w:firstRowLastColumn="0" w:lastRowFirstColumn="0" w:lastRowLastColumn="0"/>
            <w:tcW w:w="3096" w:type="dxa"/>
            <w:tcBorders>
              <w:top w:val="single" w:sz="4" w:space="0" w:color="7F7F7F" w:themeColor="text1" w:themeTint="80"/>
              <w:bottom w:val="single" w:sz="4" w:space="0" w:color="7F7F7F" w:themeColor="text1" w:themeTint="80"/>
              <w:right w:val="single" w:sz="4" w:space="0" w:color="auto"/>
            </w:tcBorders>
            <w:hideMark/>
          </w:tcPr>
          <w:p w14:paraId="25F12C7C" w14:textId="77777777" w:rsidR="001672F9" w:rsidRPr="00896FCD" w:rsidRDefault="001672F9" w:rsidP="00896FCD">
            <w:pPr>
              <w:contextualSpacing/>
              <w:rPr>
                <w:rFonts w:ascii="Tahoma" w:hAnsi="Tahoma" w:cs="Tahoma"/>
                <w:b w:val="0"/>
                <w:bCs w:val="0"/>
                <w:color w:val="000000" w:themeColor="text1"/>
                <w:sz w:val="22"/>
                <w:szCs w:val="22"/>
              </w:rPr>
            </w:pPr>
            <w:r w:rsidRPr="00896FCD">
              <w:rPr>
                <w:rFonts w:ascii="Tahoma" w:hAnsi="Tahoma" w:cs="Tahoma"/>
                <w:b w:val="0"/>
                <w:bCs w:val="0"/>
                <w:color w:val="000000" w:themeColor="text1"/>
                <w:sz w:val="22"/>
                <w:szCs w:val="22"/>
              </w:rPr>
              <w:t>Financing to Deposit Ratio (FDR)</w:t>
            </w:r>
          </w:p>
        </w:tc>
        <w:tc>
          <w:tcPr>
            <w:tcW w:w="2424" w:type="dxa"/>
            <w:tcBorders>
              <w:top w:val="single" w:sz="4" w:space="0" w:color="7F7F7F" w:themeColor="text1" w:themeTint="80"/>
              <w:left w:val="single" w:sz="4" w:space="0" w:color="auto"/>
              <w:bottom w:val="single" w:sz="4" w:space="0" w:color="7F7F7F" w:themeColor="text1" w:themeTint="80"/>
              <w:right w:val="single" w:sz="4" w:space="0" w:color="auto"/>
            </w:tcBorders>
            <w:hideMark/>
          </w:tcPr>
          <w:p w14:paraId="3044590E" w14:textId="77777777" w:rsidR="001672F9" w:rsidRPr="001672F9" w:rsidRDefault="001672F9" w:rsidP="00896FCD">
            <w:pPr>
              <w:contextualSpacing/>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22"/>
                <w:szCs w:val="22"/>
              </w:rPr>
            </w:pPr>
            <w:r w:rsidRPr="001672F9">
              <w:rPr>
                <w:rFonts w:ascii="Tahoma" w:hAnsi="Tahoma" w:cs="Tahoma"/>
                <w:color w:val="000000" w:themeColor="text1"/>
                <w:sz w:val="22"/>
                <w:szCs w:val="22"/>
              </w:rPr>
              <w:t>—</w:t>
            </w:r>
          </w:p>
        </w:tc>
        <w:tc>
          <w:tcPr>
            <w:tcW w:w="1374" w:type="dxa"/>
            <w:tcBorders>
              <w:top w:val="single" w:sz="4" w:space="0" w:color="7F7F7F" w:themeColor="text1" w:themeTint="80"/>
              <w:left w:val="single" w:sz="4" w:space="0" w:color="auto"/>
              <w:bottom w:val="single" w:sz="4" w:space="0" w:color="7F7F7F" w:themeColor="text1" w:themeTint="80"/>
              <w:right w:val="single" w:sz="4" w:space="0" w:color="auto"/>
            </w:tcBorders>
            <w:hideMark/>
          </w:tcPr>
          <w:p w14:paraId="491936EA" w14:textId="77777777" w:rsidR="001672F9" w:rsidRPr="001672F9" w:rsidRDefault="001672F9" w:rsidP="00896FCD">
            <w:pPr>
              <w:contextualSpacing/>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22"/>
                <w:szCs w:val="22"/>
              </w:rPr>
            </w:pPr>
            <w:r w:rsidRPr="001672F9">
              <w:rPr>
                <w:rFonts w:ascii="Tahoma" w:hAnsi="Tahoma" w:cs="Tahoma"/>
                <w:color w:val="000000" w:themeColor="text1"/>
                <w:sz w:val="22"/>
                <w:szCs w:val="22"/>
              </w:rPr>
              <w:t>88.50%</w:t>
            </w:r>
          </w:p>
        </w:tc>
        <w:tc>
          <w:tcPr>
            <w:tcW w:w="1612" w:type="dxa"/>
            <w:tcBorders>
              <w:left w:val="single" w:sz="4" w:space="0" w:color="auto"/>
            </w:tcBorders>
            <w:hideMark/>
          </w:tcPr>
          <w:p w14:paraId="675C9E20" w14:textId="77777777" w:rsidR="001672F9" w:rsidRPr="001672F9" w:rsidRDefault="001672F9" w:rsidP="00896FCD">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22"/>
                <w:szCs w:val="22"/>
              </w:rPr>
            </w:pPr>
            <w:r w:rsidRPr="001672F9">
              <w:rPr>
                <w:rFonts w:ascii="Tahoma" w:hAnsi="Tahoma" w:cs="Tahoma"/>
                <w:color w:val="000000" w:themeColor="text1"/>
                <w:sz w:val="22"/>
                <w:szCs w:val="22"/>
              </w:rPr>
              <w:t xml:space="preserve">The level of liquidity regarding the absorption of </w:t>
            </w:r>
            <w:r w:rsidRPr="001672F9">
              <w:rPr>
                <w:rFonts w:ascii="Tahoma" w:hAnsi="Tahoma" w:cs="Tahoma"/>
                <w:color w:val="000000" w:themeColor="text1"/>
                <w:sz w:val="22"/>
                <w:szCs w:val="22"/>
              </w:rPr>
              <w:lastRenderedPageBreak/>
              <w:t>public funds into the productive financing sector is observed to be optimal.</w:t>
            </w:r>
          </w:p>
        </w:tc>
      </w:tr>
      <w:tr w:rsidR="00896FCD" w:rsidRPr="001672F9" w14:paraId="02CEE175" w14:textId="77777777" w:rsidTr="00896F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Borders>
              <w:right w:val="single" w:sz="4" w:space="0" w:color="auto"/>
            </w:tcBorders>
            <w:hideMark/>
          </w:tcPr>
          <w:p w14:paraId="7B88AD33" w14:textId="77777777" w:rsidR="001672F9" w:rsidRPr="00896FCD" w:rsidRDefault="001672F9" w:rsidP="00896FCD">
            <w:pPr>
              <w:contextualSpacing/>
              <w:rPr>
                <w:rFonts w:ascii="Tahoma" w:hAnsi="Tahoma" w:cs="Tahoma"/>
                <w:b w:val="0"/>
                <w:bCs w:val="0"/>
                <w:color w:val="000000" w:themeColor="text1"/>
                <w:sz w:val="22"/>
                <w:szCs w:val="22"/>
              </w:rPr>
            </w:pPr>
            <w:r w:rsidRPr="00896FCD">
              <w:rPr>
                <w:rFonts w:ascii="Tahoma" w:hAnsi="Tahoma" w:cs="Tahoma"/>
                <w:b w:val="0"/>
                <w:bCs w:val="0"/>
                <w:color w:val="000000" w:themeColor="text1"/>
                <w:sz w:val="22"/>
                <w:szCs w:val="22"/>
              </w:rPr>
              <w:lastRenderedPageBreak/>
              <w:t>Non-Performing Financing (NPF) Gross</w:t>
            </w:r>
          </w:p>
        </w:tc>
        <w:tc>
          <w:tcPr>
            <w:tcW w:w="2424" w:type="dxa"/>
            <w:tcBorders>
              <w:left w:val="single" w:sz="4" w:space="0" w:color="auto"/>
              <w:right w:val="single" w:sz="4" w:space="0" w:color="auto"/>
            </w:tcBorders>
            <w:hideMark/>
          </w:tcPr>
          <w:p w14:paraId="4569696D" w14:textId="77777777" w:rsidR="001672F9" w:rsidRPr="001672F9" w:rsidRDefault="001672F9" w:rsidP="00896FCD">
            <w:pPr>
              <w:contextualSpacing/>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sidRPr="001672F9">
              <w:rPr>
                <w:rFonts w:ascii="Tahoma" w:hAnsi="Tahoma" w:cs="Tahoma"/>
                <w:color w:val="000000" w:themeColor="text1"/>
                <w:sz w:val="22"/>
                <w:szCs w:val="22"/>
              </w:rPr>
              <w:t>—</w:t>
            </w:r>
          </w:p>
        </w:tc>
        <w:tc>
          <w:tcPr>
            <w:tcW w:w="1374" w:type="dxa"/>
            <w:tcBorders>
              <w:left w:val="single" w:sz="4" w:space="0" w:color="auto"/>
              <w:right w:val="single" w:sz="4" w:space="0" w:color="auto"/>
            </w:tcBorders>
            <w:hideMark/>
          </w:tcPr>
          <w:p w14:paraId="77FE43A6" w14:textId="77777777" w:rsidR="001672F9" w:rsidRPr="001672F9" w:rsidRDefault="001672F9" w:rsidP="00896FCD">
            <w:pPr>
              <w:contextualSpacing/>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sidRPr="001672F9">
              <w:rPr>
                <w:rFonts w:ascii="Tahoma" w:hAnsi="Tahoma" w:cs="Tahoma"/>
                <w:color w:val="000000" w:themeColor="text1"/>
                <w:sz w:val="22"/>
                <w:szCs w:val="22"/>
              </w:rPr>
              <w:t>2.45%</w:t>
            </w:r>
          </w:p>
        </w:tc>
        <w:tc>
          <w:tcPr>
            <w:tcW w:w="1612" w:type="dxa"/>
            <w:tcBorders>
              <w:left w:val="single" w:sz="4" w:space="0" w:color="auto"/>
            </w:tcBorders>
            <w:hideMark/>
          </w:tcPr>
          <w:p w14:paraId="70763B53" w14:textId="77777777" w:rsidR="001672F9" w:rsidRPr="001672F9" w:rsidRDefault="001672F9" w:rsidP="00896FC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sidRPr="001672F9">
              <w:rPr>
                <w:rFonts w:ascii="Tahoma" w:hAnsi="Tahoma" w:cs="Tahoma"/>
                <w:color w:val="000000" w:themeColor="text1"/>
                <w:sz w:val="22"/>
                <w:szCs w:val="22"/>
              </w:rPr>
              <w:t>Financing quality remains well-maintained, staying below the regulator's safe threshold (5%).</w:t>
            </w:r>
          </w:p>
        </w:tc>
      </w:tr>
    </w:tbl>
    <w:p w14:paraId="724AE373" w14:textId="3D190F6F" w:rsidR="00416BB7" w:rsidRPr="005D7FE9" w:rsidRDefault="002070E9" w:rsidP="009E62BC">
      <w:pPr>
        <w:pStyle w:val="SubTopicSubJudul"/>
        <w:spacing w:before="0"/>
        <w:rPr>
          <w:rFonts w:ascii="Tahoma" w:hAnsi="Tahoma" w:cs="Tahoma"/>
          <w:b w:val="0"/>
          <w:bCs w:val="0"/>
        </w:rPr>
      </w:pPr>
      <w:r w:rsidRPr="005D7FE9">
        <w:rPr>
          <w:rFonts w:ascii="Tahoma" w:hAnsi="Tahoma" w:cs="Tahoma"/>
          <w:b w:val="0"/>
          <w:bCs w:val="0"/>
        </w:rPr>
        <w:t>Sources: Researcher (202</w:t>
      </w:r>
      <w:r w:rsidR="006856FB">
        <w:rPr>
          <w:rFonts w:ascii="Tahoma" w:hAnsi="Tahoma" w:cs="Tahoma"/>
          <w:b w:val="0"/>
          <w:bCs w:val="0"/>
        </w:rPr>
        <w:t>6</w:t>
      </w:r>
      <w:r w:rsidRPr="005D7FE9">
        <w:rPr>
          <w:rFonts w:ascii="Tahoma" w:hAnsi="Tahoma" w:cs="Tahoma"/>
          <w:b w:val="0"/>
          <w:bCs w:val="0"/>
        </w:rPr>
        <w:t>)</w:t>
      </w:r>
    </w:p>
    <w:p w14:paraId="23B782E9" w14:textId="77777777" w:rsidR="000F14E4" w:rsidRDefault="00CC0BE7" w:rsidP="000F14E4">
      <w:pPr>
        <w:pStyle w:val="NormalWeb"/>
        <w:spacing w:before="0" w:beforeAutospacing="0" w:after="0" w:afterAutospacing="0" w:line="276" w:lineRule="auto"/>
        <w:ind w:firstLine="567"/>
        <w:contextualSpacing/>
        <w:jc w:val="both"/>
        <w:rPr>
          <w:rFonts w:ascii="Tahoma" w:hAnsi="Tahoma" w:cs="Tahoma"/>
          <w:sz w:val="22"/>
          <w:szCs w:val="22"/>
        </w:rPr>
      </w:pPr>
      <w:r w:rsidRPr="00CC0BE7">
        <w:rPr>
          <w:rFonts w:ascii="Tahoma" w:hAnsi="Tahoma" w:cs="Tahoma"/>
          <w:sz w:val="22"/>
          <w:szCs w:val="22"/>
        </w:rPr>
        <w:t>Empirical</w:t>
      </w:r>
      <w:r w:rsidRPr="006856FB">
        <w:rPr>
          <w:rFonts w:ascii="Tahoma" w:hAnsi="Tahoma" w:cs="Tahoma"/>
          <w:sz w:val="22"/>
          <w:szCs w:val="22"/>
        </w:rPr>
        <w:t xml:space="preserve"> </w:t>
      </w:r>
      <w:r w:rsidR="006856FB" w:rsidRPr="006856FB">
        <w:rPr>
          <w:rFonts w:ascii="Tahoma" w:hAnsi="Tahoma" w:cs="Tahoma"/>
          <w:sz w:val="22"/>
          <w:szCs w:val="22"/>
        </w:rPr>
        <w:t>findings reveal that the developmental efficacy of Islamic banking in anchoring sustainable growth mandates is securely positioned within the 'moderately effective' category. This systematic contribution is clearly evidenced by the consistent, structural trajectory of Sharia financial expansion across both regional and national echelons. At the macro-national level, Islamic banking assets culminated at Rp 1,028.18 trillion by October 2025, reflecting a robust annualized growth rate of 11.34%, while aggregate financing outputs expanded to Rp 685.55 trillion. This capitalization surge underscores an amplified institutional capability within the Sharia financial architecture to operationalize economic development frameworks that explicitly converge with United Nations SDGs</w:t>
      </w:r>
      <w:r w:rsidR="004F002D">
        <w:rPr>
          <w:rFonts w:ascii="Tahoma" w:hAnsi="Tahoma" w:cs="Tahoma"/>
          <w:sz w:val="22"/>
          <w:szCs w:val="22"/>
        </w:rPr>
        <w:t>,</w:t>
      </w:r>
      <w:r w:rsidR="006856FB" w:rsidRPr="006856FB">
        <w:rPr>
          <w:rFonts w:ascii="Tahoma" w:hAnsi="Tahoma" w:cs="Tahoma"/>
          <w:sz w:val="22"/>
          <w:szCs w:val="22"/>
        </w:rPr>
        <w:t xml:space="preserve"> most notably in poverty eradication, employment generation, and the stabilization of productive enterprise sectors.</w:t>
      </w:r>
    </w:p>
    <w:p w14:paraId="6861B5D6" w14:textId="13CC67D1" w:rsidR="006856FB" w:rsidRDefault="006856FB" w:rsidP="000F14E4">
      <w:pPr>
        <w:pStyle w:val="NormalWeb"/>
        <w:spacing w:before="0" w:beforeAutospacing="0" w:after="0" w:afterAutospacing="0" w:line="276" w:lineRule="auto"/>
        <w:ind w:firstLine="567"/>
        <w:contextualSpacing/>
        <w:jc w:val="both"/>
        <w:rPr>
          <w:rFonts w:ascii="Tahoma" w:hAnsi="Tahoma" w:cs="Tahoma"/>
          <w:sz w:val="22"/>
          <w:szCs w:val="22"/>
        </w:rPr>
      </w:pPr>
      <w:r w:rsidRPr="006856FB">
        <w:rPr>
          <w:rFonts w:ascii="Tahoma" w:hAnsi="Tahoma" w:cs="Tahoma"/>
          <w:sz w:val="22"/>
          <w:szCs w:val="22"/>
        </w:rPr>
        <w:t xml:space="preserve">To position the empirical findings within a broader macro-financial matrix, a comprehensive benchmarking against aggregated domestic financial outputs is vital. The statistical breakdown </w:t>
      </w:r>
      <w:r w:rsidR="004F002D">
        <w:rPr>
          <w:rFonts w:ascii="Tahoma" w:hAnsi="Tahoma" w:cs="Tahoma"/>
          <w:sz w:val="22"/>
          <w:szCs w:val="22"/>
        </w:rPr>
        <w:t>below delineates key structural growth vectors and contrasts</w:t>
      </w:r>
      <w:r w:rsidRPr="006856FB">
        <w:rPr>
          <w:rFonts w:ascii="Tahoma" w:hAnsi="Tahoma" w:cs="Tahoma"/>
          <w:sz w:val="22"/>
          <w:szCs w:val="22"/>
        </w:rPr>
        <w:t xml:space="preserve"> core balance sheet metrics across the national Sharia banking landscape. By examining these macro-aggregates, the research establishes a robust comparative baseline to measure how synchronized regional market expansions align with the broader national sustainable finance trajectory.</w:t>
      </w:r>
    </w:p>
    <w:p w14:paraId="14A103BE" w14:textId="77777777" w:rsidR="000F14E4" w:rsidRDefault="000F14E4" w:rsidP="000F14E4">
      <w:pPr>
        <w:pStyle w:val="NormalWeb"/>
        <w:spacing w:before="0" w:beforeAutospacing="0" w:after="0" w:afterAutospacing="0" w:line="276" w:lineRule="auto"/>
        <w:ind w:firstLine="567"/>
        <w:contextualSpacing/>
        <w:jc w:val="both"/>
        <w:rPr>
          <w:rFonts w:ascii="Tahoma" w:hAnsi="Tahoma" w:cs="Tahoma"/>
          <w:sz w:val="22"/>
          <w:szCs w:val="22"/>
        </w:rPr>
      </w:pPr>
    </w:p>
    <w:p w14:paraId="69177CAB" w14:textId="5745DFFF" w:rsidR="001D5018" w:rsidRDefault="001D5018" w:rsidP="001D5018">
      <w:pPr>
        <w:pStyle w:val="Caption"/>
        <w:jc w:val="center"/>
        <w:rPr>
          <w:rFonts w:ascii="Tahoma" w:hAnsi="Tahoma" w:cs="Tahoma"/>
          <w:b/>
          <w:bCs/>
          <w:i w:val="0"/>
          <w:iCs w:val="0"/>
          <w:color w:val="auto"/>
          <w:sz w:val="22"/>
          <w:szCs w:val="22"/>
        </w:rPr>
      </w:pPr>
      <w:r w:rsidRPr="001D5018">
        <w:rPr>
          <w:rFonts w:ascii="Tahoma" w:hAnsi="Tahoma" w:cs="Tahoma"/>
          <w:b/>
          <w:bCs/>
          <w:i w:val="0"/>
          <w:iCs w:val="0"/>
          <w:color w:val="auto"/>
          <w:sz w:val="22"/>
          <w:szCs w:val="22"/>
        </w:rPr>
        <w:t xml:space="preserve">Table </w:t>
      </w:r>
      <w:r w:rsidRPr="001D5018">
        <w:rPr>
          <w:rFonts w:ascii="Tahoma" w:hAnsi="Tahoma" w:cs="Tahoma"/>
          <w:b/>
          <w:bCs/>
          <w:i w:val="0"/>
          <w:iCs w:val="0"/>
          <w:color w:val="auto"/>
          <w:sz w:val="22"/>
          <w:szCs w:val="22"/>
        </w:rPr>
        <w:fldChar w:fldCharType="begin"/>
      </w:r>
      <w:r w:rsidRPr="001D5018">
        <w:rPr>
          <w:rFonts w:ascii="Tahoma" w:hAnsi="Tahoma" w:cs="Tahoma"/>
          <w:b/>
          <w:bCs/>
          <w:i w:val="0"/>
          <w:iCs w:val="0"/>
          <w:color w:val="auto"/>
          <w:sz w:val="22"/>
          <w:szCs w:val="22"/>
        </w:rPr>
        <w:instrText xml:space="preserve"> SEQ Table \* ARABIC </w:instrText>
      </w:r>
      <w:r w:rsidRPr="001D5018">
        <w:rPr>
          <w:rFonts w:ascii="Tahoma" w:hAnsi="Tahoma" w:cs="Tahoma"/>
          <w:b/>
          <w:bCs/>
          <w:i w:val="0"/>
          <w:iCs w:val="0"/>
          <w:color w:val="auto"/>
          <w:sz w:val="22"/>
          <w:szCs w:val="22"/>
        </w:rPr>
        <w:fldChar w:fldCharType="separate"/>
      </w:r>
      <w:r w:rsidR="00484B8B">
        <w:rPr>
          <w:rFonts w:ascii="Tahoma" w:hAnsi="Tahoma" w:cs="Tahoma"/>
          <w:b/>
          <w:bCs/>
          <w:i w:val="0"/>
          <w:iCs w:val="0"/>
          <w:noProof/>
          <w:color w:val="auto"/>
          <w:sz w:val="22"/>
          <w:szCs w:val="22"/>
        </w:rPr>
        <w:t>2</w:t>
      </w:r>
      <w:r w:rsidRPr="001D5018">
        <w:rPr>
          <w:rFonts w:ascii="Tahoma" w:hAnsi="Tahoma" w:cs="Tahoma"/>
          <w:b/>
          <w:bCs/>
          <w:i w:val="0"/>
          <w:iCs w:val="0"/>
          <w:color w:val="auto"/>
          <w:sz w:val="22"/>
          <w:szCs w:val="22"/>
        </w:rPr>
        <w:fldChar w:fldCharType="end"/>
      </w:r>
      <w:r w:rsidRPr="001D5018">
        <w:rPr>
          <w:rFonts w:ascii="Tahoma" w:hAnsi="Tahoma" w:cs="Tahoma"/>
          <w:b/>
          <w:bCs/>
          <w:i w:val="0"/>
          <w:iCs w:val="0"/>
          <w:color w:val="auto"/>
          <w:sz w:val="22"/>
          <w:szCs w:val="22"/>
        </w:rPr>
        <w:t>. Comparison of National Islamic Banking Performance in 2025</w:t>
      </w:r>
    </w:p>
    <w:tbl>
      <w:tblPr>
        <w:tblStyle w:val="PlainTable2"/>
        <w:tblW w:w="8614" w:type="dxa"/>
        <w:tblLook w:val="04A0" w:firstRow="1" w:lastRow="0" w:firstColumn="1" w:lastColumn="0" w:noHBand="0" w:noVBand="1"/>
      </w:tblPr>
      <w:tblGrid>
        <w:gridCol w:w="1825"/>
        <w:gridCol w:w="2150"/>
        <w:gridCol w:w="2070"/>
        <w:gridCol w:w="2569"/>
      </w:tblGrid>
      <w:tr w:rsidR="00B10967" w:rsidRPr="00B10967" w14:paraId="210C77FC" w14:textId="77777777" w:rsidTr="009F3712">
        <w:trPr>
          <w:cnfStyle w:val="100000000000" w:firstRow="1" w:lastRow="0" w:firstColumn="0" w:lastColumn="0" w:oddVBand="0" w:evenVBand="0" w:oddHBand="0" w:evenHBand="0" w:firstRowFirstColumn="0" w:firstRowLastColumn="0" w:lastRowFirstColumn="0" w:lastRowLastColumn="0"/>
          <w:trHeight w:val="399"/>
          <w:tblHeader/>
        </w:trPr>
        <w:tc>
          <w:tcPr>
            <w:cnfStyle w:val="001000000000" w:firstRow="0" w:lastRow="0" w:firstColumn="1" w:lastColumn="0" w:oddVBand="0" w:evenVBand="0" w:oddHBand="0" w:evenHBand="0" w:firstRowFirstColumn="0" w:firstRowLastColumn="0" w:lastRowFirstColumn="0" w:lastRowLastColumn="0"/>
            <w:tcW w:w="1825" w:type="dxa"/>
            <w:tcBorders>
              <w:top w:val="single" w:sz="4" w:space="0" w:color="7F7F7F" w:themeColor="text1" w:themeTint="80"/>
              <w:right w:val="single" w:sz="4" w:space="0" w:color="auto"/>
            </w:tcBorders>
            <w:hideMark/>
          </w:tcPr>
          <w:p w14:paraId="25973F4A" w14:textId="77777777" w:rsidR="00B10967" w:rsidRPr="00FA6764" w:rsidRDefault="00B10967" w:rsidP="00B10967">
            <w:pPr>
              <w:contextualSpacing/>
              <w:jc w:val="center"/>
              <w:rPr>
                <w:rFonts w:ascii="Tahoma" w:hAnsi="Tahoma" w:cs="Tahoma"/>
                <w:color w:val="000000" w:themeColor="text1"/>
                <w:sz w:val="22"/>
                <w:szCs w:val="22"/>
              </w:rPr>
            </w:pPr>
            <w:r w:rsidRPr="00FA6764">
              <w:rPr>
                <w:rFonts w:ascii="Tahoma" w:hAnsi="Tahoma" w:cs="Tahoma"/>
                <w:color w:val="000000" w:themeColor="text1"/>
                <w:sz w:val="22"/>
                <w:szCs w:val="22"/>
              </w:rPr>
              <w:t>Nation-Specific Indicator</w:t>
            </w:r>
          </w:p>
        </w:tc>
        <w:tc>
          <w:tcPr>
            <w:tcW w:w="0" w:type="auto"/>
            <w:tcBorders>
              <w:top w:val="single" w:sz="4" w:space="0" w:color="7F7F7F" w:themeColor="text1" w:themeTint="80"/>
              <w:left w:val="single" w:sz="4" w:space="0" w:color="auto"/>
              <w:right w:val="single" w:sz="4" w:space="0" w:color="auto"/>
            </w:tcBorders>
            <w:hideMark/>
          </w:tcPr>
          <w:p w14:paraId="3663C2A4" w14:textId="77777777" w:rsidR="00B10967" w:rsidRPr="00B10967" w:rsidRDefault="00B10967" w:rsidP="00B10967">
            <w:pPr>
              <w:pStyle w:val="NormalWeb"/>
              <w:spacing w:before="0" w:beforeAutospacing="0" w:after="0" w:afterAutospacing="0"/>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color w:val="000000" w:themeColor="text1"/>
                <w:sz w:val="22"/>
                <w:szCs w:val="22"/>
              </w:rPr>
            </w:pPr>
            <w:r w:rsidRPr="00B10967">
              <w:rPr>
                <w:rStyle w:val="citation-29"/>
                <w:rFonts w:ascii="Tahoma" w:hAnsi="Tahoma" w:cs="Tahoma"/>
                <w:color w:val="000000" w:themeColor="text1"/>
                <w:sz w:val="22"/>
                <w:szCs w:val="22"/>
              </w:rPr>
              <w:t>Achievement Score (As of October 2025)</w:t>
            </w:r>
          </w:p>
        </w:tc>
        <w:tc>
          <w:tcPr>
            <w:tcW w:w="2070" w:type="dxa"/>
            <w:tcBorders>
              <w:top w:val="single" w:sz="4" w:space="0" w:color="7F7F7F" w:themeColor="text1" w:themeTint="80"/>
              <w:left w:val="single" w:sz="4" w:space="0" w:color="auto"/>
              <w:right w:val="single" w:sz="4" w:space="0" w:color="auto"/>
            </w:tcBorders>
            <w:hideMark/>
          </w:tcPr>
          <w:p w14:paraId="2C2ECF5E" w14:textId="77777777" w:rsidR="00B10967" w:rsidRPr="00B10967" w:rsidRDefault="00B10967" w:rsidP="00B10967">
            <w:pPr>
              <w:pStyle w:val="NormalWeb"/>
              <w:spacing w:before="0" w:beforeAutospacing="0" w:after="0" w:afterAutospacing="0"/>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color w:val="000000" w:themeColor="text1"/>
                <w:sz w:val="22"/>
                <w:szCs w:val="22"/>
              </w:rPr>
            </w:pPr>
            <w:r w:rsidRPr="00B10967">
              <w:rPr>
                <w:rStyle w:val="citation-28"/>
                <w:rFonts w:ascii="Tahoma" w:hAnsi="Tahoma" w:cs="Tahoma"/>
                <w:color w:val="000000" w:themeColor="text1"/>
                <w:sz w:val="22"/>
                <w:szCs w:val="22"/>
              </w:rPr>
              <w:t>Contemporary Growth</w:t>
            </w:r>
          </w:p>
        </w:tc>
        <w:tc>
          <w:tcPr>
            <w:tcW w:w="2569" w:type="dxa"/>
            <w:tcBorders>
              <w:left w:val="single" w:sz="4" w:space="0" w:color="auto"/>
            </w:tcBorders>
            <w:hideMark/>
          </w:tcPr>
          <w:p w14:paraId="1AD60F0F" w14:textId="77777777" w:rsidR="00B10967" w:rsidRPr="00B10967" w:rsidRDefault="00B10967" w:rsidP="00B10967">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color w:val="000000" w:themeColor="text1"/>
                <w:sz w:val="22"/>
                <w:szCs w:val="22"/>
              </w:rPr>
            </w:pPr>
            <w:r w:rsidRPr="00B10967">
              <w:rPr>
                <w:rFonts w:ascii="Tahoma" w:hAnsi="Tahoma" w:cs="Tahoma"/>
                <w:color w:val="000000" w:themeColor="text1"/>
                <w:sz w:val="22"/>
                <w:szCs w:val="22"/>
              </w:rPr>
              <w:t>Realization of Strategic SDG Contributions</w:t>
            </w:r>
          </w:p>
        </w:tc>
      </w:tr>
      <w:tr w:rsidR="00B10967" w:rsidRPr="00B10967" w14:paraId="1C627BEA" w14:textId="77777777" w:rsidTr="009F3712">
        <w:trPr>
          <w:cnfStyle w:val="000000100000" w:firstRow="0" w:lastRow="0" w:firstColumn="0" w:lastColumn="0" w:oddVBand="0" w:evenVBand="0" w:oddHBand="1" w:evenHBand="0" w:firstRowFirstColumn="0" w:firstRowLastColumn="0" w:lastRowFirstColumn="0" w:lastRowLastColumn="0"/>
          <w:trHeight w:val="793"/>
        </w:trPr>
        <w:tc>
          <w:tcPr>
            <w:cnfStyle w:val="001000000000" w:firstRow="0" w:lastRow="0" w:firstColumn="1" w:lastColumn="0" w:oddVBand="0" w:evenVBand="0" w:oddHBand="0" w:evenHBand="0" w:firstRowFirstColumn="0" w:firstRowLastColumn="0" w:lastRowFirstColumn="0" w:lastRowLastColumn="0"/>
            <w:tcW w:w="1825" w:type="dxa"/>
            <w:tcBorders>
              <w:right w:val="single" w:sz="4" w:space="0" w:color="auto"/>
            </w:tcBorders>
            <w:hideMark/>
          </w:tcPr>
          <w:p w14:paraId="7663C799" w14:textId="77777777" w:rsidR="00B10967" w:rsidRPr="00FA6764" w:rsidRDefault="00B10967" w:rsidP="00B10967">
            <w:pPr>
              <w:pStyle w:val="NormalWeb"/>
              <w:spacing w:before="0" w:beforeAutospacing="0" w:after="0" w:afterAutospacing="0"/>
              <w:contextualSpacing/>
              <w:rPr>
                <w:rFonts w:ascii="Tahoma" w:hAnsi="Tahoma" w:cs="Tahoma"/>
                <w:b w:val="0"/>
                <w:bCs w:val="0"/>
                <w:color w:val="000000" w:themeColor="text1"/>
                <w:sz w:val="22"/>
                <w:szCs w:val="22"/>
              </w:rPr>
            </w:pPr>
            <w:r w:rsidRPr="00FA6764">
              <w:rPr>
                <w:rStyle w:val="citation-27"/>
                <w:rFonts w:ascii="Tahoma" w:hAnsi="Tahoma" w:cs="Tahoma"/>
                <w:b w:val="0"/>
                <w:bCs w:val="0"/>
                <w:color w:val="000000" w:themeColor="text1"/>
                <w:sz w:val="22"/>
                <w:szCs w:val="22"/>
              </w:rPr>
              <w:t>Sharia Banking Assets</w:t>
            </w:r>
          </w:p>
        </w:tc>
        <w:tc>
          <w:tcPr>
            <w:tcW w:w="0" w:type="auto"/>
            <w:tcBorders>
              <w:left w:val="single" w:sz="4" w:space="0" w:color="auto"/>
              <w:right w:val="single" w:sz="4" w:space="0" w:color="auto"/>
            </w:tcBorders>
            <w:hideMark/>
          </w:tcPr>
          <w:p w14:paraId="6CED3C9A" w14:textId="77777777" w:rsidR="00B10967" w:rsidRPr="00B10967" w:rsidRDefault="00B10967" w:rsidP="00B10967">
            <w:pPr>
              <w:pStyle w:val="NormalWeb"/>
              <w:spacing w:before="0" w:beforeAutospacing="0" w:after="0" w:afterAutospacing="0"/>
              <w:contextualSpacing/>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sidRPr="00B10967">
              <w:rPr>
                <w:rStyle w:val="citation-26"/>
                <w:rFonts w:ascii="Tahoma" w:hAnsi="Tahoma" w:cs="Tahoma"/>
                <w:color w:val="000000" w:themeColor="text1"/>
                <w:sz w:val="22"/>
                <w:szCs w:val="22"/>
              </w:rPr>
              <w:t>Rp 1,028.18</w:t>
            </w:r>
          </w:p>
          <w:p w14:paraId="643AE23E" w14:textId="77777777" w:rsidR="00B10967" w:rsidRPr="00B10967" w:rsidRDefault="00B10967" w:rsidP="00B10967">
            <w:pPr>
              <w:contextualSpacing/>
              <w:jc w:val="center"/>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p>
        </w:tc>
        <w:tc>
          <w:tcPr>
            <w:tcW w:w="2070" w:type="dxa"/>
            <w:tcBorders>
              <w:left w:val="single" w:sz="4" w:space="0" w:color="auto"/>
              <w:right w:val="single" w:sz="4" w:space="0" w:color="auto"/>
            </w:tcBorders>
            <w:hideMark/>
          </w:tcPr>
          <w:p w14:paraId="42065FEE" w14:textId="77777777" w:rsidR="00B10967" w:rsidRPr="00B10967" w:rsidRDefault="00B10967" w:rsidP="00B10967">
            <w:pPr>
              <w:pStyle w:val="NormalWeb"/>
              <w:spacing w:before="0" w:beforeAutospacing="0" w:after="0" w:afterAutospacing="0"/>
              <w:contextualSpacing/>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sidRPr="00B10967">
              <w:rPr>
                <w:rStyle w:val="citation-25"/>
                <w:rFonts w:ascii="Tahoma" w:hAnsi="Tahoma" w:cs="Tahoma"/>
                <w:color w:val="000000" w:themeColor="text1"/>
                <w:sz w:val="22"/>
                <w:szCs w:val="22"/>
              </w:rPr>
              <w:t>11.34%</w:t>
            </w:r>
          </w:p>
        </w:tc>
        <w:tc>
          <w:tcPr>
            <w:tcW w:w="2569" w:type="dxa"/>
            <w:tcBorders>
              <w:left w:val="single" w:sz="4" w:space="0" w:color="auto"/>
            </w:tcBorders>
            <w:hideMark/>
          </w:tcPr>
          <w:p w14:paraId="099B0D86" w14:textId="77777777" w:rsidR="00B10967" w:rsidRPr="00B10967" w:rsidRDefault="00B10967" w:rsidP="00B10967">
            <w:pPr>
              <w:pStyle w:val="NormalWeb"/>
              <w:spacing w:before="0" w:beforeAutospacing="0" w:after="0" w:afterAutospacing="0"/>
              <w:contextualSpacing/>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sidRPr="00B10967">
              <w:rPr>
                <w:rStyle w:val="citation-24"/>
                <w:rFonts w:ascii="Tahoma" w:hAnsi="Tahoma" w:cs="Tahoma"/>
                <w:color w:val="000000" w:themeColor="text1"/>
                <w:sz w:val="22"/>
                <w:szCs w:val="22"/>
              </w:rPr>
              <w:t>Industry-scale acceleration in support of inclusive financial stability.</w:t>
            </w:r>
          </w:p>
        </w:tc>
      </w:tr>
      <w:tr w:rsidR="00B10967" w:rsidRPr="00B10967" w14:paraId="4C7D9A57" w14:textId="77777777" w:rsidTr="009F3712">
        <w:trPr>
          <w:trHeight w:val="714"/>
        </w:trPr>
        <w:tc>
          <w:tcPr>
            <w:cnfStyle w:val="001000000000" w:firstRow="0" w:lastRow="0" w:firstColumn="1" w:lastColumn="0" w:oddVBand="0" w:evenVBand="0" w:oddHBand="0" w:evenHBand="0" w:firstRowFirstColumn="0" w:firstRowLastColumn="0" w:lastRowFirstColumn="0" w:lastRowLastColumn="0"/>
            <w:tcW w:w="1825" w:type="dxa"/>
            <w:tcBorders>
              <w:top w:val="single" w:sz="4" w:space="0" w:color="7F7F7F" w:themeColor="text1" w:themeTint="80"/>
              <w:bottom w:val="single" w:sz="4" w:space="0" w:color="7F7F7F" w:themeColor="text1" w:themeTint="80"/>
              <w:right w:val="single" w:sz="4" w:space="0" w:color="auto"/>
            </w:tcBorders>
            <w:hideMark/>
          </w:tcPr>
          <w:p w14:paraId="09387642" w14:textId="77777777" w:rsidR="00B10967" w:rsidRPr="00FA6764" w:rsidRDefault="00B10967" w:rsidP="00B10967">
            <w:pPr>
              <w:contextualSpacing/>
              <w:textAlignment w:val="baseline"/>
              <w:rPr>
                <w:rFonts w:ascii="Tahoma" w:hAnsi="Tahoma" w:cs="Tahoma"/>
                <w:b w:val="0"/>
                <w:bCs w:val="0"/>
                <w:color w:val="000000" w:themeColor="text1"/>
                <w:sz w:val="22"/>
                <w:szCs w:val="22"/>
              </w:rPr>
            </w:pPr>
            <w:r w:rsidRPr="00FA6764">
              <w:rPr>
                <w:rStyle w:val="citation-23"/>
                <w:rFonts w:ascii="Tahoma" w:hAnsi="Tahoma" w:cs="Tahoma"/>
                <w:b w:val="0"/>
                <w:bCs w:val="0"/>
                <w:color w:val="000000" w:themeColor="text1"/>
                <w:sz w:val="22"/>
                <w:szCs w:val="22"/>
              </w:rPr>
              <w:lastRenderedPageBreak/>
              <w:t>Total Financing Disbursed</w:t>
            </w:r>
          </w:p>
        </w:tc>
        <w:tc>
          <w:tcPr>
            <w:tcW w:w="0" w:type="auto"/>
            <w:tcBorders>
              <w:top w:val="single" w:sz="4" w:space="0" w:color="7F7F7F" w:themeColor="text1" w:themeTint="80"/>
              <w:left w:val="single" w:sz="4" w:space="0" w:color="auto"/>
              <w:bottom w:val="single" w:sz="4" w:space="0" w:color="7F7F7F" w:themeColor="text1" w:themeTint="80"/>
              <w:right w:val="single" w:sz="4" w:space="0" w:color="auto"/>
            </w:tcBorders>
            <w:hideMark/>
          </w:tcPr>
          <w:p w14:paraId="561D88EF" w14:textId="77777777" w:rsidR="00B10967" w:rsidRPr="00B10967" w:rsidRDefault="00B10967" w:rsidP="00B10967">
            <w:pPr>
              <w:pStyle w:val="NormalWeb"/>
              <w:spacing w:before="0" w:beforeAutospacing="0" w:after="0" w:afterAutospacing="0"/>
              <w:contextualSpacing/>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22"/>
                <w:szCs w:val="22"/>
              </w:rPr>
            </w:pPr>
            <w:r w:rsidRPr="00B10967">
              <w:rPr>
                <w:rStyle w:val="citation-22"/>
                <w:rFonts w:ascii="Tahoma" w:hAnsi="Tahoma" w:cs="Tahoma"/>
                <w:color w:val="000000" w:themeColor="text1"/>
                <w:sz w:val="22"/>
                <w:szCs w:val="22"/>
              </w:rPr>
              <w:t>Rp 685.55</w:t>
            </w:r>
          </w:p>
          <w:p w14:paraId="461B1330" w14:textId="77777777" w:rsidR="00B10967" w:rsidRPr="00B10967" w:rsidRDefault="00B10967" w:rsidP="00B10967">
            <w:pPr>
              <w:contextualSpacing/>
              <w:jc w:val="center"/>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22"/>
                <w:szCs w:val="22"/>
              </w:rPr>
            </w:pPr>
          </w:p>
        </w:tc>
        <w:tc>
          <w:tcPr>
            <w:tcW w:w="2070" w:type="dxa"/>
            <w:tcBorders>
              <w:top w:val="single" w:sz="4" w:space="0" w:color="7F7F7F" w:themeColor="text1" w:themeTint="80"/>
              <w:left w:val="single" w:sz="4" w:space="0" w:color="auto"/>
              <w:bottom w:val="single" w:sz="4" w:space="0" w:color="7F7F7F" w:themeColor="text1" w:themeTint="80"/>
              <w:right w:val="single" w:sz="4" w:space="0" w:color="auto"/>
            </w:tcBorders>
            <w:hideMark/>
          </w:tcPr>
          <w:p w14:paraId="17BBF487" w14:textId="77777777" w:rsidR="00B10967" w:rsidRPr="00B10967" w:rsidRDefault="00B10967" w:rsidP="00B10967">
            <w:pPr>
              <w:contextualSpacing/>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22"/>
                <w:szCs w:val="22"/>
              </w:rPr>
            </w:pPr>
            <w:r w:rsidRPr="00B10967">
              <w:rPr>
                <w:rFonts w:ascii="Tahoma" w:hAnsi="Tahoma" w:cs="Tahoma"/>
                <w:color w:val="000000" w:themeColor="text1"/>
                <w:sz w:val="22"/>
                <w:szCs w:val="22"/>
              </w:rPr>
              <w:t>9.42%</w:t>
            </w:r>
          </w:p>
        </w:tc>
        <w:tc>
          <w:tcPr>
            <w:tcW w:w="2569" w:type="dxa"/>
            <w:tcBorders>
              <w:left w:val="single" w:sz="4" w:space="0" w:color="auto"/>
            </w:tcBorders>
            <w:hideMark/>
          </w:tcPr>
          <w:p w14:paraId="20A09B96" w14:textId="77777777" w:rsidR="00B10967" w:rsidRPr="00B10967" w:rsidRDefault="00B10967" w:rsidP="00B10967">
            <w:pPr>
              <w:pStyle w:val="NormalWeb"/>
              <w:spacing w:before="0" w:beforeAutospacing="0" w:after="0" w:afterAutospacing="0"/>
              <w:contextualSpacing/>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22"/>
                <w:szCs w:val="22"/>
              </w:rPr>
            </w:pPr>
            <w:r w:rsidRPr="00B10967">
              <w:rPr>
                <w:rStyle w:val="citation-21"/>
                <w:rFonts w:ascii="Tahoma" w:hAnsi="Tahoma" w:cs="Tahoma"/>
                <w:color w:val="000000" w:themeColor="text1"/>
                <w:sz w:val="22"/>
                <w:szCs w:val="22"/>
              </w:rPr>
              <w:t>Focusing on poverty eradication, job creation, and the empowerment of socially vulnerable groups.</w:t>
            </w:r>
          </w:p>
        </w:tc>
      </w:tr>
      <w:tr w:rsidR="00B10967" w:rsidRPr="00B10967" w14:paraId="1A7539ED" w14:textId="77777777" w:rsidTr="009F3712">
        <w:trPr>
          <w:cnfStyle w:val="000000100000" w:firstRow="0" w:lastRow="0" w:firstColumn="0" w:lastColumn="0" w:oddVBand="0" w:evenVBand="0" w:oddHBand="1" w:evenHBand="0" w:firstRowFirstColumn="0" w:firstRowLastColumn="0" w:lastRowFirstColumn="0" w:lastRowLastColumn="0"/>
          <w:trHeight w:val="793"/>
        </w:trPr>
        <w:tc>
          <w:tcPr>
            <w:cnfStyle w:val="001000000000" w:firstRow="0" w:lastRow="0" w:firstColumn="1" w:lastColumn="0" w:oddVBand="0" w:evenVBand="0" w:oddHBand="0" w:evenHBand="0" w:firstRowFirstColumn="0" w:firstRowLastColumn="0" w:lastRowFirstColumn="0" w:lastRowLastColumn="0"/>
            <w:tcW w:w="1825" w:type="dxa"/>
            <w:tcBorders>
              <w:right w:val="single" w:sz="4" w:space="0" w:color="auto"/>
            </w:tcBorders>
            <w:hideMark/>
          </w:tcPr>
          <w:p w14:paraId="0996D513" w14:textId="77777777" w:rsidR="00B10967" w:rsidRPr="00FA6764" w:rsidRDefault="00B10967" w:rsidP="00B10967">
            <w:pPr>
              <w:contextualSpacing/>
              <w:rPr>
                <w:rFonts w:ascii="Tahoma" w:hAnsi="Tahoma" w:cs="Tahoma"/>
                <w:b w:val="0"/>
                <w:bCs w:val="0"/>
                <w:color w:val="000000" w:themeColor="text1"/>
                <w:sz w:val="22"/>
                <w:szCs w:val="22"/>
              </w:rPr>
            </w:pPr>
            <w:r w:rsidRPr="00FA6764">
              <w:rPr>
                <w:rFonts w:ascii="Tahoma" w:hAnsi="Tahoma" w:cs="Tahoma"/>
                <w:b w:val="0"/>
                <w:bCs w:val="0"/>
                <w:color w:val="000000" w:themeColor="text1"/>
                <w:sz w:val="22"/>
                <w:szCs w:val="22"/>
              </w:rPr>
              <w:t>National Market Share</w:t>
            </w:r>
          </w:p>
        </w:tc>
        <w:tc>
          <w:tcPr>
            <w:tcW w:w="0" w:type="auto"/>
            <w:tcBorders>
              <w:left w:val="single" w:sz="4" w:space="0" w:color="auto"/>
              <w:right w:val="single" w:sz="4" w:space="0" w:color="auto"/>
            </w:tcBorders>
            <w:hideMark/>
          </w:tcPr>
          <w:p w14:paraId="7A78E8BB" w14:textId="77777777" w:rsidR="00B10967" w:rsidRPr="00B10967" w:rsidRDefault="00B10967" w:rsidP="00B10967">
            <w:pPr>
              <w:contextualSpacing/>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sidRPr="00B10967">
              <w:rPr>
                <w:rFonts w:ascii="Tahoma" w:hAnsi="Tahoma" w:cs="Tahoma"/>
                <w:color w:val="000000" w:themeColor="text1"/>
                <w:sz w:val="22"/>
                <w:szCs w:val="22"/>
              </w:rPr>
              <w:t>7.35%</w:t>
            </w:r>
          </w:p>
        </w:tc>
        <w:tc>
          <w:tcPr>
            <w:tcW w:w="2070" w:type="dxa"/>
            <w:tcBorders>
              <w:left w:val="single" w:sz="4" w:space="0" w:color="auto"/>
              <w:right w:val="single" w:sz="4" w:space="0" w:color="auto"/>
            </w:tcBorders>
            <w:hideMark/>
          </w:tcPr>
          <w:p w14:paraId="0B853BEF" w14:textId="77777777" w:rsidR="00B10967" w:rsidRPr="00B10967" w:rsidRDefault="00B10967" w:rsidP="00B10967">
            <w:pPr>
              <w:contextualSpacing/>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sidRPr="00B10967">
              <w:rPr>
                <w:rFonts w:ascii="Tahoma" w:hAnsi="Tahoma" w:cs="Tahoma"/>
                <w:color w:val="000000" w:themeColor="text1"/>
                <w:sz w:val="22"/>
                <w:szCs w:val="22"/>
              </w:rPr>
              <w:t>+0.45%</w:t>
            </w:r>
          </w:p>
        </w:tc>
        <w:tc>
          <w:tcPr>
            <w:tcW w:w="2569" w:type="dxa"/>
            <w:tcBorders>
              <w:left w:val="single" w:sz="4" w:space="0" w:color="auto"/>
            </w:tcBorders>
            <w:hideMark/>
          </w:tcPr>
          <w:p w14:paraId="1158E5D1" w14:textId="77777777" w:rsidR="00B10967" w:rsidRPr="00B10967" w:rsidRDefault="00B10967" w:rsidP="00B10967">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sidRPr="00B10967">
              <w:rPr>
                <w:rFonts w:ascii="Tahoma" w:hAnsi="Tahoma" w:cs="Tahoma"/>
                <w:color w:val="000000" w:themeColor="text1"/>
                <w:sz w:val="22"/>
                <w:szCs w:val="22"/>
              </w:rPr>
              <w:t>Increasing public preference for the *</w:t>
            </w:r>
            <w:proofErr w:type="spellStart"/>
            <w:r w:rsidRPr="00B10967">
              <w:rPr>
                <w:rFonts w:ascii="Tahoma" w:hAnsi="Tahoma" w:cs="Tahoma"/>
                <w:color w:val="000000" w:themeColor="text1"/>
                <w:sz w:val="22"/>
                <w:szCs w:val="22"/>
              </w:rPr>
              <w:t>muamalah</w:t>
            </w:r>
            <w:proofErr w:type="spellEnd"/>
            <w:r w:rsidRPr="00B10967">
              <w:rPr>
                <w:rFonts w:ascii="Tahoma" w:hAnsi="Tahoma" w:cs="Tahoma"/>
                <w:color w:val="000000" w:themeColor="text1"/>
                <w:sz w:val="22"/>
                <w:szCs w:val="22"/>
              </w:rPr>
              <w:t>* ecosystem.</w:t>
            </w:r>
          </w:p>
        </w:tc>
      </w:tr>
      <w:tr w:rsidR="00B10967" w:rsidRPr="00B10967" w14:paraId="5B9E1ED5" w14:textId="77777777" w:rsidTr="009F3712">
        <w:trPr>
          <w:trHeight w:val="1048"/>
        </w:trPr>
        <w:tc>
          <w:tcPr>
            <w:cnfStyle w:val="001000000000" w:firstRow="0" w:lastRow="0" w:firstColumn="1" w:lastColumn="0" w:oddVBand="0" w:evenVBand="0" w:oddHBand="0" w:evenHBand="0" w:firstRowFirstColumn="0" w:firstRowLastColumn="0" w:lastRowFirstColumn="0" w:lastRowLastColumn="0"/>
            <w:tcW w:w="1825" w:type="dxa"/>
            <w:tcBorders>
              <w:top w:val="single" w:sz="4" w:space="0" w:color="7F7F7F" w:themeColor="text1" w:themeTint="80"/>
              <w:bottom w:val="single" w:sz="4" w:space="0" w:color="7F7F7F" w:themeColor="text1" w:themeTint="80"/>
              <w:right w:val="single" w:sz="4" w:space="0" w:color="auto"/>
            </w:tcBorders>
            <w:hideMark/>
          </w:tcPr>
          <w:p w14:paraId="1E3BF904" w14:textId="77777777" w:rsidR="00B10967" w:rsidRPr="00FA6764" w:rsidRDefault="00B10967" w:rsidP="00B10967">
            <w:pPr>
              <w:contextualSpacing/>
              <w:rPr>
                <w:rFonts w:ascii="Tahoma" w:hAnsi="Tahoma" w:cs="Tahoma"/>
                <w:b w:val="0"/>
                <w:bCs w:val="0"/>
                <w:color w:val="000000" w:themeColor="text1"/>
                <w:sz w:val="22"/>
                <w:szCs w:val="22"/>
              </w:rPr>
            </w:pPr>
            <w:r w:rsidRPr="00FA6764">
              <w:rPr>
                <w:rFonts w:ascii="Tahoma" w:hAnsi="Tahoma" w:cs="Tahoma"/>
                <w:b w:val="0"/>
                <w:bCs w:val="0"/>
                <w:color w:val="000000" w:themeColor="text1"/>
                <w:sz w:val="22"/>
                <w:szCs w:val="22"/>
              </w:rPr>
              <w:t>Distribution of Social Finance (ZISWAF &amp; CSR)</w:t>
            </w:r>
          </w:p>
        </w:tc>
        <w:tc>
          <w:tcPr>
            <w:tcW w:w="0" w:type="auto"/>
            <w:tcBorders>
              <w:top w:val="single" w:sz="4" w:space="0" w:color="7F7F7F" w:themeColor="text1" w:themeTint="80"/>
              <w:left w:val="single" w:sz="4" w:space="0" w:color="auto"/>
              <w:bottom w:val="single" w:sz="4" w:space="0" w:color="7F7F7F" w:themeColor="text1" w:themeTint="80"/>
              <w:right w:val="single" w:sz="4" w:space="0" w:color="auto"/>
            </w:tcBorders>
            <w:hideMark/>
          </w:tcPr>
          <w:p w14:paraId="7DCCBF9A" w14:textId="77777777" w:rsidR="00B10967" w:rsidRPr="00B10967" w:rsidRDefault="00B10967" w:rsidP="00B10967">
            <w:pPr>
              <w:contextualSpacing/>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22"/>
                <w:szCs w:val="22"/>
              </w:rPr>
            </w:pPr>
            <w:r w:rsidRPr="00B10967">
              <w:rPr>
                <w:rFonts w:ascii="Tahoma" w:hAnsi="Tahoma" w:cs="Tahoma"/>
                <w:color w:val="000000" w:themeColor="text1"/>
                <w:sz w:val="22"/>
                <w:szCs w:val="22"/>
              </w:rPr>
              <w:t>Rp 4.80</w:t>
            </w:r>
          </w:p>
        </w:tc>
        <w:tc>
          <w:tcPr>
            <w:tcW w:w="2070" w:type="dxa"/>
            <w:tcBorders>
              <w:top w:val="single" w:sz="4" w:space="0" w:color="7F7F7F" w:themeColor="text1" w:themeTint="80"/>
              <w:left w:val="single" w:sz="4" w:space="0" w:color="auto"/>
              <w:bottom w:val="single" w:sz="4" w:space="0" w:color="7F7F7F" w:themeColor="text1" w:themeTint="80"/>
              <w:right w:val="single" w:sz="4" w:space="0" w:color="auto"/>
            </w:tcBorders>
            <w:hideMark/>
          </w:tcPr>
          <w:p w14:paraId="32DF7D25" w14:textId="77777777" w:rsidR="00B10967" w:rsidRPr="00B10967" w:rsidRDefault="00B10967" w:rsidP="00B10967">
            <w:pPr>
              <w:contextualSpacing/>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22"/>
                <w:szCs w:val="22"/>
              </w:rPr>
            </w:pPr>
            <w:r w:rsidRPr="00B10967">
              <w:rPr>
                <w:rFonts w:ascii="Tahoma" w:hAnsi="Tahoma" w:cs="Tahoma"/>
                <w:color w:val="000000" w:themeColor="text1"/>
                <w:sz w:val="22"/>
                <w:szCs w:val="22"/>
              </w:rPr>
              <w:t>12.10%</w:t>
            </w:r>
          </w:p>
        </w:tc>
        <w:tc>
          <w:tcPr>
            <w:tcW w:w="2569" w:type="dxa"/>
            <w:tcBorders>
              <w:left w:val="single" w:sz="4" w:space="0" w:color="auto"/>
            </w:tcBorders>
            <w:hideMark/>
          </w:tcPr>
          <w:p w14:paraId="42D0B435" w14:textId="77777777" w:rsidR="00B10967" w:rsidRPr="00B10967" w:rsidRDefault="00B10967" w:rsidP="00B10967">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22"/>
                <w:szCs w:val="22"/>
              </w:rPr>
            </w:pPr>
            <w:r w:rsidRPr="00B10967">
              <w:rPr>
                <w:rFonts w:ascii="Tahoma" w:hAnsi="Tahoma" w:cs="Tahoma"/>
                <w:color w:val="000000" w:themeColor="text1"/>
                <w:sz w:val="22"/>
                <w:szCs w:val="22"/>
              </w:rPr>
              <w:t>Synergy of commercial and social financing to meet social welfare targets.</w:t>
            </w:r>
          </w:p>
        </w:tc>
      </w:tr>
    </w:tbl>
    <w:p w14:paraId="432B9FB9" w14:textId="77777777" w:rsidR="00CC0BE7" w:rsidRPr="005D7FE9" w:rsidRDefault="00CC0BE7" w:rsidP="00CC0BE7">
      <w:pPr>
        <w:pStyle w:val="SubTopicSubJudul"/>
        <w:spacing w:before="0"/>
        <w:rPr>
          <w:rFonts w:ascii="Tahoma" w:hAnsi="Tahoma" w:cs="Tahoma"/>
          <w:b w:val="0"/>
          <w:bCs w:val="0"/>
        </w:rPr>
      </w:pPr>
      <w:r w:rsidRPr="005D7FE9">
        <w:rPr>
          <w:rFonts w:ascii="Tahoma" w:hAnsi="Tahoma" w:cs="Tahoma"/>
          <w:b w:val="0"/>
          <w:bCs w:val="0"/>
        </w:rPr>
        <w:t>Sources: Researcher (202</w:t>
      </w:r>
      <w:r>
        <w:rPr>
          <w:rFonts w:ascii="Tahoma" w:hAnsi="Tahoma" w:cs="Tahoma"/>
          <w:b w:val="0"/>
          <w:bCs w:val="0"/>
        </w:rPr>
        <w:t>6</w:t>
      </w:r>
      <w:r w:rsidRPr="005D7FE9">
        <w:rPr>
          <w:rFonts w:ascii="Tahoma" w:hAnsi="Tahoma" w:cs="Tahoma"/>
          <w:b w:val="0"/>
          <w:bCs w:val="0"/>
        </w:rPr>
        <w:t>)</w:t>
      </w:r>
    </w:p>
    <w:p w14:paraId="64E04FED" w14:textId="77777777" w:rsidR="000F14E4" w:rsidRDefault="000F14E4" w:rsidP="00433E37">
      <w:pPr>
        <w:pStyle w:val="NormalWeb"/>
        <w:spacing w:before="0" w:beforeAutospacing="0" w:after="0" w:afterAutospacing="0" w:line="276" w:lineRule="auto"/>
        <w:ind w:firstLine="720"/>
        <w:contextualSpacing/>
        <w:jc w:val="both"/>
        <w:rPr>
          <w:rFonts w:ascii="Tahoma" w:hAnsi="Tahoma" w:cs="Tahoma"/>
          <w:sz w:val="22"/>
          <w:szCs w:val="22"/>
        </w:rPr>
      </w:pPr>
    </w:p>
    <w:p w14:paraId="4780EEAD" w14:textId="77777777" w:rsidR="000F14E4" w:rsidRDefault="00433E37" w:rsidP="000F14E4">
      <w:pPr>
        <w:pStyle w:val="NormalWeb"/>
        <w:spacing w:before="0" w:beforeAutospacing="0" w:after="0" w:afterAutospacing="0" w:line="276" w:lineRule="auto"/>
        <w:ind w:firstLine="567"/>
        <w:contextualSpacing/>
        <w:jc w:val="both"/>
        <w:rPr>
          <w:rFonts w:ascii="Tahoma" w:hAnsi="Tahoma" w:cs="Tahoma"/>
          <w:sz w:val="22"/>
          <w:szCs w:val="22"/>
        </w:rPr>
      </w:pPr>
      <w:r w:rsidRPr="00433E37">
        <w:rPr>
          <w:rFonts w:ascii="Tahoma" w:hAnsi="Tahoma" w:cs="Tahoma"/>
          <w:sz w:val="22"/>
          <w:szCs w:val="22"/>
        </w:rPr>
        <w:t xml:space="preserve">Within the specific context of the Special Region of Yogyakarta (DIY), this developmental efficacy is </w:t>
      </w:r>
      <w:r w:rsidR="004F002D">
        <w:rPr>
          <w:rFonts w:ascii="Tahoma" w:hAnsi="Tahoma" w:cs="Tahoma"/>
          <w:sz w:val="22"/>
          <w:szCs w:val="22"/>
        </w:rPr>
        <w:t>reflected in the expansion of credit allocation, which reached Rp 65.66 trillion by August 2025, marking a 5.51% growth rate compared</w:t>
      </w:r>
      <w:r w:rsidRPr="00433E37">
        <w:rPr>
          <w:rFonts w:ascii="Tahoma" w:hAnsi="Tahoma" w:cs="Tahoma"/>
          <w:sz w:val="22"/>
          <w:szCs w:val="22"/>
        </w:rPr>
        <w:t xml:space="preserve"> to the preceding period. Granular sector-level diagnostics indicate that the highest financing acceleration was recorded in public administration, human health and social work activities, alongside rental and business support services. Crucially, these empirical outcomes demonstrate a substantive, albeit indirect, contribution of the Sharia financial ecosystem toward anchoring United Nations targets, specifically SDGs 3 (Good Health and Well-being) and SDGs 8 (Decent Work and Economic Growth).</w:t>
      </w:r>
    </w:p>
    <w:p w14:paraId="2FBA1092" w14:textId="1A7CF99E" w:rsidR="00433E37" w:rsidRPr="00433E37" w:rsidRDefault="00433E37" w:rsidP="000F14E4">
      <w:pPr>
        <w:pStyle w:val="NormalWeb"/>
        <w:spacing w:before="0" w:beforeAutospacing="0" w:after="0" w:afterAutospacing="0" w:line="276" w:lineRule="auto"/>
        <w:ind w:firstLine="567"/>
        <w:contextualSpacing/>
        <w:jc w:val="both"/>
        <w:rPr>
          <w:rFonts w:ascii="Tahoma" w:hAnsi="Tahoma" w:cs="Tahoma"/>
          <w:sz w:val="22"/>
          <w:szCs w:val="22"/>
        </w:rPr>
      </w:pPr>
      <w:r w:rsidRPr="00433E37">
        <w:rPr>
          <w:rFonts w:ascii="Tahoma" w:hAnsi="Tahoma" w:cs="Tahoma"/>
          <w:sz w:val="22"/>
          <w:szCs w:val="22"/>
        </w:rPr>
        <w:t xml:space="preserve">Notwithstanding these positive financial trajectories, empirical evidence </w:t>
      </w:r>
      <w:r w:rsidR="004F002D">
        <w:rPr>
          <w:rFonts w:ascii="Tahoma" w:hAnsi="Tahoma" w:cs="Tahoma"/>
          <w:sz w:val="22"/>
          <w:szCs w:val="22"/>
        </w:rPr>
        <w:t>indicates several persistent challenges that hinder Islamic banking's optimal contribution to</w:t>
      </w:r>
      <w:r w:rsidRPr="00433E37">
        <w:rPr>
          <w:rFonts w:ascii="Tahoma" w:hAnsi="Tahoma" w:cs="Tahoma"/>
          <w:sz w:val="22"/>
          <w:szCs w:val="22"/>
        </w:rPr>
        <w:t xml:space="preserve"> the SDGs. This multifaceted bottleneck encompasses the non-integration of standardized SDGs indicators within internal bank performance metrics, the conspicuous scarcity of operational </w:t>
      </w:r>
      <w:proofErr w:type="spellStart"/>
      <w:r w:rsidRPr="00433E37">
        <w:rPr>
          <w:rFonts w:ascii="Tahoma" w:hAnsi="Tahoma" w:cs="Tahoma"/>
          <w:i/>
          <w:iCs/>
          <w:sz w:val="22"/>
          <w:szCs w:val="22"/>
        </w:rPr>
        <w:t>maqashid</w:t>
      </w:r>
      <w:proofErr w:type="spellEnd"/>
      <w:r w:rsidRPr="00433E37">
        <w:rPr>
          <w:rFonts w:ascii="Tahoma" w:hAnsi="Tahoma" w:cs="Tahoma"/>
          <w:sz w:val="22"/>
          <w:szCs w:val="22"/>
        </w:rPr>
        <w:t>-based social impact assessment tools, sub-optimal Sharia financial literacy among the public, and fragmented collaboration across the multi-stakeholder ecosystem</w:t>
      </w:r>
      <w:r w:rsidR="004F002D">
        <w:rPr>
          <w:rFonts w:ascii="Tahoma" w:hAnsi="Tahoma" w:cs="Tahoma"/>
          <w:sz w:val="22"/>
          <w:szCs w:val="22"/>
        </w:rPr>
        <w:t>,</w:t>
      </w:r>
      <w:r w:rsidRPr="00433E37">
        <w:rPr>
          <w:rFonts w:ascii="Tahoma" w:hAnsi="Tahoma" w:cs="Tahoma"/>
          <w:sz w:val="22"/>
          <w:szCs w:val="22"/>
        </w:rPr>
        <w:t xml:space="preserve"> specifically involving regulators, financial institutions, municipal governments, academia, and Islamic economic organizations. To mitigate these structural deficits, the Financial Services Authority of Yogyakarta (OJK DIY) strongly advocates </w:t>
      </w:r>
      <w:r w:rsidR="004F002D">
        <w:rPr>
          <w:rFonts w:ascii="Tahoma" w:hAnsi="Tahoma" w:cs="Tahoma"/>
          <w:sz w:val="22"/>
          <w:szCs w:val="22"/>
        </w:rPr>
        <w:t>strengthening</w:t>
      </w:r>
      <w:r w:rsidRPr="00433E37">
        <w:rPr>
          <w:rFonts w:ascii="Tahoma" w:hAnsi="Tahoma" w:cs="Tahoma"/>
          <w:sz w:val="22"/>
          <w:szCs w:val="22"/>
        </w:rPr>
        <w:t xml:space="preserve"> the regional Sharia financial ecosystem. This institutional consolidation is positioned as a critical regional strategic agenda to systematically scale up the sector’s capacity in underwriting sustainable macro-development initiatives.</w:t>
      </w:r>
    </w:p>
    <w:p w14:paraId="718ED4DF" w14:textId="6F8F2B20" w:rsidR="0067687D" w:rsidRDefault="00433E37" w:rsidP="000F14E4">
      <w:pPr>
        <w:pStyle w:val="NormalWeb"/>
        <w:spacing w:before="0" w:beforeAutospacing="0" w:after="0" w:afterAutospacing="0" w:line="276" w:lineRule="auto"/>
        <w:ind w:firstLine="567"/>
        <w:contextualSpacing/>
        <w:jc w:val="both"/>
        <w:rPr>
          <w:rFonts w:ascii="Tahoma" w:hAnsi="Tahoma" w:cs="Tahoma"/>
          <w:sz w:val="22"/>
          <w:szCs w:val="22"/>
        </w:rPr>
      </w:pPr>
      <w:r w:rsidRPr="00433E37">
        <w:rPr>
          <w:rFonts w:ascii="Tahoma" w:hAnsi="Tahoma" w:cs="Tahoma"/>
          <w:sz w:val="22"/>
          <w:szCs w:val="22"/>
        </w:rPr>
        <w:t xml:space="preserve">Grounded in these empirical insights, this study articulates a novel </w:t>
      </w:r>
      <w:proofErr w:type="spellStart"/>
      <w:r w:rsidRPr="00433E37">
        <w:rPr>
          <w:rFonts w:ascii="Tahoma" w:hAnsi="Tahoma" w:cs="Tahoma"/>
          <w:i/>
          <w:iCs/>
          <w:sz w:val="22"/>
          <w:szCs w:val="22"/>
        </w:rPr>
        <w:t>maqashid</w:t>
      </w:r>
      <w:proofErr w:type="spellEnd"/>
      <w:r w:rsidRPr="00433E37">
        <w:rPr>
          <w:rFonts w:ascii="Tahoma" w:hAnsi="Tahoma" w:cs="Tahoma"/>
          <w:sz w:val="22"/>
          <w:szCs w:val="22"/>
        </w:rPr>
        <w:t xml:space="preserve">-based strategic framework structured around four interconnected core pillars: (1) institutionalizing robust sustainability governance; (2) hardcoding standardized SDGs indicators directly into corporate financing policies and Islamic socio-philanthropic portfolios; (3) fortifying multi-stakeholder ecosystem synergy; and (4) engineering </w:t>
      </w:r>
      <w:r w:rsidRPr="00433E37">
        <w:rPr>
          <w:rFonts w:ascii="Tahoma" w:hAnsi="Tahoma" w:cs="Tahoma"/>
          <w:sz w:val="22"/>
          <w:szCs w:val="22"/>
        </w:rPr>
        <w:lastRenderedPageBreak/>
        <w:t>integrated impact measurement systems that synthesize global sustainability metrics with Sharia objectives. This conceptual framework demonstrates that Islamic banking can exponentially scale up its developmental efficacy provided that its commercial, social, and developmental functionalities are systematically synchronized with the core tenets of public interest (</w:t>
      </w:r>
      <w:proofErr w:type="spellStart"/>
      <w:r w:rsidRPr="00433E37">
        <w:rPr>
          <w:rFonts w:ascii="Tahoma" w:hAnsi="Tahoma" w:cs="Tahoma"/>
          <w:i/>
          <w:iCs/>
          <w:sz w:val="22"/>
          <w:szCs w:val="22"/>
        </w:rPr>
        <w:t>maslahah</w:t>
      </w:r>
      <w:proofErr w:type="spellEnd"/>
      <w:r w:rsidRPr="00433E37">
        <w:rPr>
          <w:rFonts w:ascii="Tahoma" w:hAnsi="Tahoma" w:cs="Tahoma"/>
          <w:sz w:val="22"/>
          <w:szCs w:val="22"/>
        </w:rPr>
        <w:t xml:space="preserve">), distributive justice, and ecological sustainability. Consequently, these findings consolidate the thesis that </w:t>
      </w:r>
      <w:proofErr w:type="spellStart"/>
      <w:r w:rsidRPr="00433E37">
        <w:rPr>
          <w:rFonts w:ascii="Tahoma" w:hAnsi="Tahoma" w:cs="Tahoma"/>
          <w:i/>
          <w:iCs/>
          <w:sz w:val="22"/>
          <w:szCs w:val="22"/>
        </w:rPr>
        <w:t>maqashid</w:t>
      </w:r>
      <w:proofErr w:type="spellEnd"/>
      <w:r w:rsidRPr="00433E37">
        <w:rPr>
          <w:rFonts w:ascii="Tahoma" w:hAnsi="Tahoma" w:cs="Tahoma"/>
          <w:i/>
          <w:iCs/>
          <w:sz w:val="22"/>
          <w:szCs w:val="22"/>
        </w:rPr>
        <w:t xml:space="preserve"> al-</w:t>
      </w:r>
      <w:proofErr w:type="spellStart"/>
      <w:r w:rsidRPr="00433E37">
        <w:rPr>
          <w:rFonts w:ascii="Tahoma" w:hAnsi="Tahoma" w:cs="Tahoma"/>
          <w:i/>
          <w:iCs/>
          <w:sz w:val="22"/>
          <w:szCs w:val="22"/>
        </w:rPr>
        <w:t>shari'ah</w:t>
      </w:r>
      <w:proofErr w:type="spellEnd"/>
      <w:r w:rsidRPr="00433E37">
        <w:rPr>
          <w:rFonts w:ascii="Tahoma" w:hAnsi="Tahoma" w:cs="Tahoma"/>
          <w:sz w:val="22"/>
          <w:szCs w:val="22"/>
        </w:rPr>
        <w:t xml:space="preserve"> serves not merely as a passive normative anchor, but </w:t>
      </w:r>
      <w:r w:rsidR="004F002D">
        <w:rPr>
          <w:rFonts w:ascii="Tahoma" w:hAnsi="Tahoma" w:cs="Tahoma"/>
          <w:sz w:val="22"/>
          <w:szCs w:val="22"/>
        </w:rPr>
        <w:t xml:space="preserve">also as an active, operational apparatus to optimize the execution of the SDGs </w:t>
      </w:r>
      <w:r w:rsidRPr="00433E37">
        <w:rPr>
          <w:rFonts w:ascii="Tahoma" w:hAnsi="Tahoma" w:cs="Tahoma"/>
          <w:sz w:val="22"/>
          <w:szCs w:val="22"/>
        </w:rPr>
        <w:t>within the Sharia financial architecture.</w:t>
      </w:r>
    </w:p>
    <w:p w14:paraId="5ECC28E0" w14:textId="77777777" w:rsidR="00CE6487" w:rsidRPr="00CE6487" w:rsidRDefault="00CE6487" w:rsidP="00CE6487">
      <w:pPr>
        <w:pStyle w:val="NormalWeb"/>
        <w:spacing w:before="0" w:beforeAutospacing="0" w:after="0" w:afterAutospacing="0" w:line="276" w:lineRule="auto"/>
        <w:ind w:firstLine="720"/>
        <w:contextualSpacing/>
        <w:jc w:val="both"/>
        <w:rPr>
          <w:rFonts w:ascii="Tahoma" w:hAnsi="Tahoma" w:cs="Tahoma"/>
          <w:sz w:val="22"/>
          <w:szCs w:val="22"/>
        </w:rPr>
      </w:pPr>
    </w:p>
    <w:p w14:paraId="4B831453" w14:textId="42BE3119" w:rsidR="00416BB7" w:rsidRPr="005D7FE9" w:rsidRDefault="003E2213" w:rsidP="009E62BC">
      <w:pPr>
        <w:tabs>
          <w:tab w:val="left" w:pos="1112"/>
        </w:tabs>
        <w:spacing w:line="276" w:lineRule="auto"/>
        <w:jc w:val="both"/>
        <w:outlineLvl w:val="1"/>
        <w:rPr>
          <w:rFonts w:ascii="Tahoma" w:eastAsia="Arial" w:hAnsi="Tahoma" w:cs="Tahoma"/>
          <w:b/>
          <w:sz w:val="22"/>
          <w:szCs w:val="22"/>
          <w:lang w:val="en" w:eastAsia="en-ID"/>
        </w:rPr>
      </w:pPr>
      <w:r w:rsidRPr="005D7FE9">
        <w:rPr>
          <w:rFonts w:ascii="Tahoma" w:eastAsia="Arial" w:hAnsi="Tahoma" w:cs="Tahoma"/>
          <w:b/>
          <w:sz w:val="22"/>
          <w:szCs w:val="22"/>
          <w:lang w:val="en" w:eastAsia="en-ID"/>
        </w:rPr>
        <w:t>Discussion</w:t>
      </w:r>
    </w:p>
    <w:p w14:paraId="348AE4B2" w14:textId="49223719" w:rsidR="00484B8B" w:rsidRPr="00484B8B" w:rsidRDefault="00484B8B" w:rsidP="000F14E4">
      <w:pPr>
        <w:pBdr>
          <w:top w:val="nil"/>
          <w:left w:val="nil"/>
          <w:bottom w:val="nil"/>
          <w:right w:val="nil"/>
          <w:between w:val="nil"/>
        </w:pBdr>
        <w:spacing w:line="276" w:lineRule="auto"/>
        <w:ind w:firstLine="567"/>
        <w:jc w:val="both"/>
        <w:rPr>
          <w:rFonts w:ascii="Tahoma" w:eastAsia="Arial" w:hAnsi="Tahoma" w:cs="Tahoma"/>
          <w:color w:val="000000"/>
          <w:sz w:val="22"/>
          <w:szCs w:val="22"/>
          <w:lang w:val="en" w:eastAsia="en-ID"/>
        </w:rPr>
      </w:pPr>
      <w:bookmarkStart w:id="7" w:name="_Hlk233826168"/>
      <w:r w:rsidRPr="00484B8B">
        <w:rPr>
          <w:rFonts w:ascii="Tahoma" w:hAnsi="Tahoma" w:cs="Tahoma"/>
          <w:sz w:val="22"/>
          <w:szCs w:val="22"/>
        </w:rPr>
        <w:t xml:space="preserve">Empirical insights demonstrate that the developmental contribution of Islamic banking toward anchoring the Sustainable Development Goals (SDGs) in the Special Region of Yogyakarta (DIY) transcends mere financial intermediation; rather, it constitutes a structural manifestation of the normative goals of </w:t>
      </w:r>
      <w:proofErr w:type="spellStart"/>
      <w:r w:rsidRPr="00484B8B">
        <w:rPr>
          <w:rFonts w:ascii="Tahoma" w:hAnsi="Tahoma" w:cs="Tahoma"/>
          <w:i/>
          <w:iCs/>
          <w:sz w:val="22"/>
          <w:szCs w:val="22"/>
        </w:rPr>
        <w:t>maqashid</w:t>
      </w:r>
      <w:proofErr w:type="spellEnd"/>
      <w:r w:rsidRPr="00484B8B">
        <w:rPr>
          <w:rFonts w:ascii="Tahoma" w:hAnsi="Tahoma" w:cs="Tahoma"/>
          <w:i/>
          <w:iCs/>
          <w:sz w:val="22"/>
          <w:szCs w:val="22"/>
        </w:rPr>
        <w:t xml:space="preserve"> al-</w:t>
      </w:r>
      <w:proofErr w:type="spellStart"/>
      <w:r w:rsidRPr="00484B8B">
        <w:rPr>
          <w:rFonts w:ascii="Tahoma" w:hAnsi="Tahoma" w:cs="Tahoma"/>
          <w:i/>
          <w:iCs/>
          <w:sz w:val="22"/>
          <w:szCs w:val="22"/>
        </w:rPr>
        <w:t>shari'ah</w:t>
      </w:r>
      <w:proofErr w:type="spellEnd"/>
      <w:r w:rsidRPr="00484B8B">
        <w:rPr>
          <w:rFonts w:ascii="Tahoma" w:hAnsi="Tahoma" w:cs="Tahoma"/>
          <w:sz w:val="22"/>
          <w:szCs w:val="22"/>
        </w:rPr>
        <w:t xml:space="preserve"> within the broader Islamic economic framework. From the jurisprudential vantage point of Sharia Economic Law, underwritten credits directed to productive sectors, MSME empowerment, and corporate socio-philanthropic initiatives collectively represent the operationalization of the </w:t>
      </w:r>
      <w:proofErr w:type="spellStart"/>
      <w:r w:rsidRPr="00484B8B">
        <w:rPr>
          <w:rFonts w:ascii="Tahoma" w:hAnsi="Tahoma" w:cs="Tahoma"/>
          <w:i/>
          <w:iCs/>
          <w:sz w:val="22"/>
          <w:szCs w:val="22"/>
        </w:rPr>
        <w:t>maslahah</w:t>
      </w:r>
      <w:proofErr w:type="spellEnd"/>
      <w:r w:rsidRPr="00484B8B">
        <w:rPr>
          <w:rFonts w:ascii="Tahoma" w:hAnsi="Tahoma" w:cs="Tahoma"/>
          <w:sz w:val="22"/>
          <w:szCs w:val="22"/>
        </w:rPr>
        <w:t xml:space="preserve"> (public interest) principle, explicitly designed to secure sustainable societal welfare. This outcome aligns with the scholarly consensus that </w:t>
      </w:r>
      <w:proofErr w:type="spellStart"/>
      <w:r w:rsidRPr="00484B8B">
        <w:rPr>
          <w:rFonts w:ascii="Tahoma" w:hAnsi="Tahoma" w:cs="Tahoma"/>
          <w:i/>
          <w:iCs/>
          <w:sz w:val="22"/>
          <w:szCs w:val="22"/>
        </w:rPr>
        <w:t>maqashid</w:t>
      </w:r>
      <w:proofErr w:type="spellEnd"/>
      <w:r w:rsidRPr="00484B8B">
        <w:rPr>
          <w:rFonts w:ascii="Tahoma" w:hAnsi="Tahoma" w:cs="Tahoma"/>
          <w:i/>
          <w:iCs/>
          <w:sz w:val="22"/>
          <w:szCs w:val="22"/>
        </w:rPr>
        <w:t xml:space="preserve"> al-</w:t>
      </w:r>
      <w:proofErr w:type="spellStart"/>
      <w:r w:rsidRPr="00484B8B">
        <w:rPr>
          <w:rFonts w:ascii="Tahoma" w:hAnsi="Tahoma" w:cs="Tahoma"/>
          <w:i/>
          <w:iCs/>
          <w:sz w:val="22"/>
          <w:szCs w:val="22"/>
        </w:rPr>
        <w:t>shari'ah</w:t>
      </w:r>
      <w:proofErr w:type="spellEnd"/>
      <w:r w:rsidRPr="00484B8B">
        <w:rPr>
          <w:rFonts w:ascii="Tahoma" w:hAnsi="Tahoma" w:cs="Tahoma"/>
          <w:sz w:val="22"/>
          <w:szCs w:val="22"/>
        </w:rPr>
        <w:t xml:space="preserve"> and the SDGs exhibit a profound substantive convergence in materializing distributive justice, poverty eradication, and inclusive socio-economic development </w:t>
      </w:r>
      <w:r w:rsidR="00714442">
        <w:rPr>
          <w:rFonts w:ascii="Tahoma" w:hAnsi="Tahoma" w:cs="Tahoma"/>
          <w:color w:val="000000" w:themeColor="text1"/>
          <w:sz w:val="22"/>
          <w:szCs w:val="22"/>
        </w:rPr>
        <w:fldChar w:fldCharType="begin" w:fldLock="1"/>
      </w:r>
      <w:r w:rsidR="006D4540">
        <w:rPr>
          <w:rFonts w:ascii="Tahoma" w:hAnsi="Tahoma" w:cs="Tahoma"/>
          <w:color w:val="000000" w:themeColor="text1"/>
          <w:sz w:val="22"/>
          <w:szCs w:val="22"/>
        </w:rPr>
        <w:instrText>ADDIN CSL_CITATION {"citationItems":[{"id":"ITEM-1","itemData":{"DOI":"10.61722/jiem.v3i12.7369","author":[{"dropping-particle":"","family":"Nisa","given":"Richen Shofia","non-dropping-particle":"","parse-names":false,"suffix":""},{"dropping-particle":"","family":"Kurniawati","given":"Ima","non-dropping-particle":"","parse-names":false,"suffix":""},{"dropping-particle":"","family":"Ritjha","given":"Muhammad","non-dropping-particle":"","parse-names":false,"suffix":""},{"dropping-particle":"","family":"Pramadita","given":"Vionika Yolla","non-dropping-particle":"","parse-names":false,"suffix":""},{"dropping-particle":"","family":"Hidayati","given":"Amalia Nuril","non-dropping-particle":"","parse-names":false,"suffix":""}],"container-title":"Jurnal Ilmiah Ekonomi dan Manajemen","id":"ITEM-1","issue":"12","issued":{"date-parts":[["2025"]]},"page":"122-131","title":"Kontribusi Perbankan Syariah Terhadap Stabilitas Ekonomi dan Pencapaian Sustainable Development Goals (SDGs) Melalui Pembiayaan Syariah","type":"article-journal","volume":"3"},"uris":["http://www.mendeley.com/documents/?uuid=1a3f2150-f6b0-4992-8c07-a0bbe319d13a"]}],"mendeley":{"formattedCitation":"(R. S. Nisa et al., 2025)","manualFormatting":"(Nisa et al., 2025)","plainTextFormattedCitation":"(R. S. Nisa et al., 2025)","previouslyFormattedCitation":"(R. S. Nisa et al., 2025)"},"properties":{"noteIndex":0},"schema":"https://github.com/citation-style-language/schema/raw/master/csl-citation.json"}</w:instrText>
      </w:r>
      <w:r w:rsidR="00714442">
        <w:rPr>
          <w:rFonts w:ascii="Tahoma" w:hAnsi="Tahoma" w:cs="Tahoma"/>
          <w:color w:val="000000" w:themeColor="text1"/>
          <w:sz w:val="22"/>
          <w:szCs w:val="22"/>
        </w:rPr>
        <w:fldChar w:fldCharType="separate"/>
      </w:r>
      <w:r w:rsidR="00714442" w:rsidRPr="00714442">
        <w:rPr>
          <w:rFonts w:ascii="Tahoma" w:hAnsi="Tahoma" w:cs="Tahoma"/>
          <w:noProof/>
          <w:color w:val="000000" w:themeColor="text1"/>
          <w:sz w:val="22"/>
          <w:szCs w:val="22"/>
        </w:rPr>
        <w:t>(Nisa et al., 2025)</w:t>
      </w:r>
      <w:r w:rsidR="00714442">
        <w:rPr>
          <w:rFonts w:ascii="Tahoma" w:hAnsi="Tahoma" w:cs="Tahoma"/>
          <w:color w:val="000000" w:themeColor="text1"/>
          <w:sz w:val="22"/>
          <w:szCs w:val="22"/>
        </w:rPr>
        <w:fldChar w:fldCharType="end"/>
      </w:r>
      <w:r w:rsidR="00714442">
        <w:rPr>
          <w:rFonts w:ascii="Tahoma" w:hAnsi="Tahoma" w:cs="Tahoma"/>
          <w:color w:val="000000" w:themeColor="text1"/>
          <w:sz w:val="22"/>
          <w:szCs w:val="22"/>
        </w:rPr>
        <w:t>.</w:t>
      </w:r>
      <w:r w:rsidRPr="00484B8B">
        <w:rPr>
          <w:rFonts w:ascii="Tahoma" w:hAnsi="Tahoma" w:cs="Tahoma"/>
          <w:color w:val="000000" w:themeColor="text1"/>
          <w:sz w:val="22"/>
          <w:szCs w:val="22"/>
        </w:rPr>
        <w:t xml:space="preserve"> </w:t>
      </w:r>
      <w:r w:rsidRPr="00484B8B">
        <w:rPr>
          <w:rFonts w:ascii="Tahoma" w:hAnsi="Tahoma" w:cs="Tahoma"/>
          <w:sz w:val="22"/>
          <w:szCs w:val="22"/>
        </w:rPr>
        <w:t>Consequently, regional Sharia financial intermediaries operate not merely as profit-maximizing corporate entities, but as transformative developmental instruments imbued with dual normative and social legitimacy to champion global sustainability mandates.</w:t>
      </w:r>
    </w:p>
    <w:p w14:paraId="4F743FD4" w14:textId="2A430B58" w:rsidR="00484B8B" w:rsidRPr="00484B8B" w:rsidRDefault="00484B8B" w:rsidP="000F14E4">
      <w:pPr>
        <w:pStyle w:val="NormalWeb"/>
        <w:spacing w:before="0" w:beforeAutospacing="0" w:after="0" w:afterAutospacing="0" w:line="276" w:lineRule="auto"/>
        <w:ind w:firstLine="567"/>
        <w:contextualSpacing/>
        <w:jc w:val="both"/>
        <w:rPr>
          <w:rFonts w:ascii="Tahoma" w:hAnsi="Tahoma" w:cs="Tahoma"/>
          <w:sz w:val="22"/>
          <w:szCs w:val="22"/>
        </w:rPr>
      </w:pPr>
      <w:bookmarkStart w:id="8" w:name="_Hlk233826289"/>
      <w:bookmarkEnd w:id="7"/>
      <w:r w:rsidRPr="00484B8B">
        <w:rPr>
          <w:rFonts w:ascii="Tahoma" w:hAnsi="Tahoma" w:cs="Tahoma"/>
          <w:sz w:val="22"/>
          <w:szCs w:val="22"/>
        </w:rPr>
        <w:t xml:space="preserve">These empirical outcomes reinforce prior scholarly literature asserting that Sharia financial institutions possess the structural capacity to back SDG fulfillment through real-sector credit </w:t>
      </w:r>
      <w:proofErr w:type="spellStart"/>
      <w:r w:rsidRPr="00484B8B">
        <w:rPr>
          <w:rFonts w:ascii="Tahoma" w:hAnsi="Tahoma" w:cs="Tahoma"/>
          <w:sz w:val="22"/>
          <w:szCs w:val="22"/>
        </w:rPr>
        <w:t>channelling</w:t>
      </w:r>
      <w:proofErr w:type="spellEnd"/>
      <w:r w:rsidRPr="00484B8B">
        <w:rPr>
          <w:rFonts w:ascii="Tahoma" w:hAnsi="Tahoma" w:cs="Tahoma"/>
          <w:sz w:val="22"/>
          <w:szCs w:val="22"/>
        </w:rPr>
        <w:t xml:space="preserve"> and elevated financial inclusion</w:t>
      </w:r>
      <w:r w:rsidR="006D4540">
        <w:rPr>
          <w:rFonts w:ascii="Tahoma" w:hAnsi="Tahoma" w:cs="Tahoma"/>
          <w:sz w:val="22"/>
          <w:szCs w:val="22"/>
        </w:rPr>
        <w:t xml:space="preserve"> </w:t>
      </w:r>
      <w:r w:rsidR="00285869">
        <w:rPr>
          <w:rFonts w:ascii="Tahoma" w:hAnsi="Tahoma" w:cs="Tahoma"/>
          <w:sz w:val="22"/>
          <w:szCs w:val="22"/>
        </w:rPr>
        <w:fldChar w:fldCharType="begin" w:fldLock="1"/>
      </w:r>
      <w:r w:rsidR="00217D59">
        <w:rPr>
          <w:rFonts w:ascii="Tahoma" w:hAnsi="Tahoma" w:cs="Tahoma"/>
          <w:sz w:val="22"/>
          <w:szCs w:val="22"/>
        </w:rPr>
        <w:instrText>ADDIN CSL_CITATION {"citationItems":[{"id":"ITEM-1","itemData":{"DOI":"10.35896/jse.v7i1.1332","author":[{"dropping-particle":"","family":"Wakhidah","given":"Laila Murningsih Novrian","non-dropping-particle":"","parse-names":false,"suffix":""}],"container-title":"Journal of Sharia Economics","id":"ITEM-1","issue":"1","issued":{"date-parts":[["2025"]]},"page":"305-314","title":"Peran Ekonomi Syariah Dalam Mendukung Sustainable Development Goals (SDGs)","type":"article-journal","volume":"7"},"uris":["http://www.mendeley.com/documents/?uuid=c698cfe9-2975-4f69-b89d-e286c2379c36"]}],"mendeley":{"formattedCitation":"(Wakhidah, 2025)","manualFormatting":"(Wakhidah, 2025)","plainTextFormattedCitation":"(Wakhidah, 2025)","previouslyFormattedCitation":"(Wakhidah, 2025)"},"properties":{"noteIndex":0},"schema":"https://github.com/citation-style-language/schema/raw/master/csl-citation.json"}</w:instrText>
      </w:r>
      <w:r w:rsidR="00285869">
        <w:rPr>
          <w:rFonts w:ascii="Tahoma" w:hAnsi="Tahoma" w:cs="Tahoma"/>
          <w:sz w:val="22"/>
          <w:szCs w:val="22"/>
        </w:rPr>
        <w:fldChar w:fldCharType="separate"/>
      </w:r>
      <w:r w:rsidR="00285869" w:rsidRPr="00285869">
        <w:rPr>
          <w:rFonts w:ascii="Tahoma" w:hAnsi="Tahoma" w:cs="Tahoma"/>
          <w:noProof/>
          <w:sz w:val="22"/>
          <w:szCs w:val="22"/>
        </w:rPr>
        <w:t>(Wakhidah, 2025)</w:t>
      </w:r>
      <w:r w:rsidR="00285869">
        <w:rPr>
          <w:rFonts w:ascii="Tahoma" w:hAnsi="Tahoma" w:cs="Tahoma"/>
          <w:sz w:val="22"/>
          <w:szCs w:val="22"/>
        </w:rPr>
        <w:fldChar w:fldCharType="end"/>
      </w:r>
      <w:r w:rsidRPr="00484B8B">
        <w:rPr>
          <w:rFonts w:ascii="Tahoma" w:hAnsi="Tahoma" w:cs="Tahoma"/>
          <w:sz w:val="22"/>
          <w:szCs w:val="22"/>
        </w:rPr>
        <w:t xml:space="preserve">. Nonetheless, this study unearths a critical asymmetry: the developmental contribution remains heavily skewed toward </w:t>
      </w:r>
      <w:r w:rsidR="004F002D">
        <w:rPr>
          <w:rFonts w:ascii="Tahoma" w:hAnsi="Tahoma" w:cs="Tahoma"/>
          <w:sz w:val="22"/>
          <w:szCs w:val="22"/>
        </w:rPr>
        <w:t>commercial and economic</w:t>
      </w:r>
      <w:r w:rsidRPr="00484B8B">
        <w:rPr>
          <w:rFonts w:ascii="Tahoma" w:hAnsi="Tahoma" w:cs="Tahoma"/>
          <w:sz w:val="22"/>
          <w:szCs w:val="22"/>
        </w:rPr>
        <w:t xml:space="preserve"> indicators, </w:t>
      </w:r>
      <w:r w:rsidR="004F002D">
        <w:rPr>
          <w:rFonts w:ascii="Tahoma" w:hAnsi="Tahoma" w:cs="Tahoma"/>
          <w:sz w:val="22"/>
          <w:szCs w:val="22"/>
        </w:rPr>
        <w:t>while social and environmental dimensions are vastly underrepresented</w:t>
      </w:r>
      <w:r w:rsidRPr="00484B8B">
        <w:rPr>
          <w:rFonts w:ascii="Tahoma" w:hAnsi="Tahoma" w:cs="Tahoma"/>
          <w:sz w:val="22"/>
          <w:szCs w:val="22"/>
        </w:rPr>
        <w:t xml:space="preserve">. This imbalance highlights a persistent decoupling between the transcendent normative ideals of </w:t>
      </w:r>
      <w:proofErr w:type="spellStart"/>
      <w:r w:rsidRPr="00484B8B">
        <w:rPr>
          <w:rFonts w:ascii="Tahoma" w:hAnsi="Tahoma" w:cs="Tahoma"/>
          <w:i/>
          <w:iCs/>
          <w:sz w:val="22"/>
          <w:szCs w:val="22"/>
        </w:rPr>
        <w:t>maqashid</w:t>
      </w:r>
      <w:proofErr w:type="spellEnd"/>
      <w:r w:rsidRPr="00484B8B">
        <w:rPr>
          <w:rFonts w:ascii="Tahoma" w:hAnsi="Tahoma" w:cs="Tahoma"/>
          <w:i/>
          <w:iCs/>
          <w:sz w:val="22"/>
          <w:szCs w:val="22"/>
        </w:rPr>
        <w:t xml:space="preserve"> al-</w:t>
      </w:r>
      <w:proofErr w:type="spellStart"/>
      <w:r w:rsidRPr="00484B8B">
        <w:rPr>
          <w:rFonts w:ascii="Tahoma" w:hAnsi="Tahoma" w:cs="Tahoma"/>
          <w:i/>
          <w:iCs/>
          <w:sz w:val="22"/>
          <w:szCs w:val="22"/>
        </w:rPr>
        <w:t>shari'ah</w:t>
      </w:r>
      <w:proofErr w:type="spellEnd"/>
      <w:r w:rsidRPr="00484B8B">
        <w:rPr>
          <w:rFonts w:ascii="Tahoma" w:hAnsi="Tahoma" w:cs="Tahoma"/>
          <w:sz w:val="22"/>
          <w:szCs w:val="22"/>
        </w:rPr>
        <w:t xml:space="preserve"> and the day-to-day operational realities of Islamic banking. Within contemporary </w:t>
      </w:r>
      <w:proofErr w:type="spellStart"/>
      <w:r w:rsidRPr="00484B8B">
        <w:rPr>
          <w:rFonts w:ascii="Tahoma" w:hAnsi="Tahoma" w:cs="Tahoma"/>
          <w:i/>
          <w:iCs/>
          <w:sz w:val="22"/>
          <w:szCs w:val="22"/>
        </w:rPr>
        <w:t>maqashid</w:t>
      </w:r>
      <w:proofErr w:type="spellEnd"/>
      <w:r w:rsidRPr="00484B8B">
        <w:rPr>
          <w:rFonts w:ascii="Tahoma" w:hAnsi="Tahoma" w:cs="Tahoma"/>
          <w:sz w:val="22"/>
          <w:szCs w:val="22"/>
        </w:rPr>
        <w:t xml:space="preserve"> paradigms, institutional success is no longer benchmarked solely against asset accumulation or financing growth; instead, it hinges upon a bank's capacity to generate quantifiable public interest (</w:t>
      </w:r>
      <w:proofErr w:type="spellStart"/>
      <w:r w:rsidRPr="00484B8B">
        <w:rPr>
          <w:rFonts w:ascii="Tahoma" w:hAnsi="Tahoma" w:cs="Tahoma"/>
          <w:i/>
          <w:iCs/>
          <w:sz w:val="22"/>
          <w:szCs w:val="22"/>
        </w:rPr>
        <w:t>maslahah</w:t>
      </w:r>
      <w:proofErr w:type="spellEnd"/>
      <w:r w:rsidRPr="00484B8B">
        <w:rPr>
          <w:rFonts w:ascii="Tahoma" w:hAnsi="Tahoma" w:cs="Tahoma"/>
          <w:sz w:val="22"/>
          <w:szCs w:val="22"/>
        </w:rPr>
        <w:t>) within society</w:t>
      </w:r>
      <w:r w:rsidR="00CC39C2">
        <w:rPr>
          <w:rFonts w:ascii="Tahoma" w:hAnsi="Tahoma" w:cs="Tahoma"/>
          <w:sz w:val="22"/>
          <w:szCs w:val="22"/>
        </w:rPr>
        <w:t xml:space="preserve"> </w:t>
      </w:r>
      <w:r w:rsidR="00217D59">
        <w:rPr>
          <w:rFonts w:ascii="Tahoma" w:hAnsi="Tahoma" w:cs="Tahoma"/>
          <w:sz w:val="22"/>
          <w:szCs w:val="22"/>
        </w:rPr>
        <w:fldChar w:fldCharType="begin" w:fldLock="1"/>
      </w:r>
      <w:r w:rsidR="002E707D">
        <w:rPr>
          <w:rFonts w:ascii="Tahoma" w:hAnsi="Tahoma" w:cs="Tahoma"/>
          <w:sz w:val="22"/>
          <w:szCs w:val="22"/>
        </w:rPr>
        <w:instrText>ADDIN CSL_CITATION {"citationItems":[{"id":"ITEM-1","itemData":{"DOI":"10.66341/inflasi.v2i1.120","author":[{"dropping-particle":"","family":"Sari","given":"Diana Puspita","non-dropping-particle":"","parse-names":false,"suffix":""},{"dropping-particle":"","family":"Fitri","given":"Anggun Okta","non-dropping-particle":"","parse-names":false,"suffix":""},{"dropping-particle":"","family":"Fasa","given":"Muhammad Iqbal","non-dropping-particle":"","parse-names":false,"suffix":""}],"container-title":"Inflasi: Jurnal Ekonomi, Manajemen dan Perbankan","id":"ITEM-1","issue":"1","issued":{"date-parts":[["2025"]]},"page":"50-57","title":"Implementasi Prinsip Maqashid Syariah Dalam Operasional Perbankan Syariah","type":"article-journal","volume":"2"},"uris":["http://www.mendeley.com/documents/?uuid=e66bc290-c9b9-4921-befd-e0fb30784fbc"]}],"mendeley":{"formattedCitation":"(D. P. Sari et al., 2025)","manualFormatting":"(Sari et al., 2025)","plainTextFormattedCitation":"(D. P. Sari et al., 2025)"},"properties":{"noteIndex":0},"schema":"https://github.com/citation-style-language/schema/raw/master/csl-citation.json"}</w:instrText>
      </w:r>
      <w:r w:rsidR="00217D59">
        <w:rPr>
          <w:rFonts w:ascii="Tahoma" w:hAnsi="Tahoma" w:cs="Tahoma"/>
          <w:sz w:val="22"/>
          <w:szCs w:val="22"/>
        </w:rPr>
        <w:fldChar w:fldCharType="separate"/>
      </w:r>
      <w:r w:rsidR="00217D59" w:rsidRPr="00217D59">
        <w:rPr>
          <w:rFonts w:ascii="Tahoma" w:hAnsi="Tahoma" w:cs="Tahoma"/>
          <w:noProof/>
          <w:sz w:val="22"/>
          <w:szCs w:val="22"/>
        </w:rPr>
        <w:t>(Sari et al., 2025)</w:t>
      </w:r>
      <w:r w:rsidR="00217D59">
        <w:rPr>
          <w:rFonts w:ascii="Tahoma" w:hAnsi="Tahoma" w:cs="Tahoma"/>
          <w:sz w:val="22"/>
          <w:szCs w:val="22"/>
        </w:rPr>
        <w:fldChar w:fldCharType="end"/>
      </w:r>
      <w:r w:rsidR="00B3054B">
        <w:rPr>
          <w:rFonts w:ascii="Tahoma" w:hAnsi="Tahoma" w:cs="Tahoma"/>
          <w:sz w:val="22"/>
          <w:szCs w:val="22"/>
        </w:rPr>
        <w:t>.</w:t>
      </w:r>
      <w:r w:rsidRPr="00484B8B">
        <w:rPr>
          <w:rFonts w:ascii="Tahoma" w:hAnsi="Tahoma" w:cs="Tahoma"/>
          <w:sz w:val="22"/>
          <w:szCs w:val="22"/>
        </w:rPr>
        <w:t xml:space="preserve"> Consequently, the recorded asset expansion in DIY and at the national level must be critically reassessed as a reservoir of institutional capacity that has yet to be fully translated into tangible socio-ecological developmental impacts.</w:t>
      </w:r>
    </w:p>
    <w:p w14:paraId="3F2DFEB7" w14:textId="02BB8EBE" w:rsidR="000F14E4" w:rsidRDefault="00484B8B" w:rsidP="000F14E4">
      <w:pPr>
        <w:pStyle w:val="NormalWeb"/>
        <w:spacing w:before="0" w:beforeAutospacing="0" w:after="0" w:afterAutospacing="0" w:line="276" w:lineRule="auto"/>
        <w:ind w:firstLine="567"/>
        <w:contextualSpacing/>
        <w:jc w:val="both"/>
        <w:rPr>
          <w:rFonts w:ascii="Tahoma" w:hAnsi="Tahoma" w:cs="Tahoma"/>
          <w:sz w:val="22"/>
          <w:szCs w:val="22"/>
        </w:rPr>
      </w:pPr>
      <w:bookmarkStart w:id="9" w:name="_Hlk233826384"/>
      <w:bookmarkEnd w:id="8"/>
      <w:r w:rsidRPr="00484B8B">
        <w:rPr>
          <w:rFonts w:ascii="Tahoma" w:hAnsi="Tahoma" w:cs="Tahoma"/>
          <w:sz w:val="22"/>
          <w:szCs w:val="22"/>
        </w:rPr>
        <w:t xml:space="preserve">Empirical findings indicating that the developmental efficacy of Islamic banking </w:t>
      </w:r>
      <w:r w:rsidR="004F002D">
        <w:rPr>
          <w:rFonts w:ascii="Tahoma" w:hAnsi="Tahoma" w:cs="Tahoma"/>
          <w:sz w:val="22"/>
          <w:szCs w:val="22"/>
        </w:rPr>
        <w:t>falls within the 'moderately effective' threshold suggest that credit expansion does not automatically translate into the optimal</w:t>
      </w:r>
      <w:r w:rsidRPr="00484B8B">
        <w:rPr>
          <w:rFonts w:ascii="Tahoma" w:hAnsi="Tahoma" w:cs="Tahoma"/>
          <w:sz w:val="22"/>
          <w:szCs w:val="22"/>
        </w:rPr>
        <w:t xml:space="preserve"> attainment of the SDGs. This disconnect aligns with prior scholarly literature, which notes that a primary structural challenge in the </w:t>
      </w:r>
      <w:r w:rsidRPr="00484B8B">
        <w:rPr>
          <w:rFonts w:ascii="Tahoma" w:hAnsi="Tahoma" w:cs="Tahoma"/>
          <w:sz w:val="22"/>
          <w:szCs w:val="22"/>
        </w:rPr>
        <w:lastRenderedPageBreak/>
        <w:t xml:space="preserve">Sharia financial industry is the historical </w:t>
      </w:r>
      <w:r w:rsidR="000F14E4">
        <w:rPr>
          <w:rFonts w:ascii="Tahoma" w:hAnsi="Tahoma" w:cs="Tahoma"/>
          <w:sz w:val="22"/>
          <w:szCs w:val="22"/>
        </w:rPr>
        <w:t>lack of integration of sustainable development indices into</w:t>
      </w:r>
      <w:r w:rsidRPr="00484B8B">
        <w:rPr>
          <w:rFonts w:ascii="Tahoma" w:hAnsi="Tahoma" w:cs="Tahoma"/>
          <w:sz w:val="22"/>
          <w:szCs w:val="22"/>
        </w:rPr>
        <w:t xml:space="preserve"> internal corporate performance metrics</w:t>
      </w:r>
      <w:r w:rsidR="00704C91">
        <w:rPr>
          <w:rFonts w:ascii="Tahoma" w:hAnsi="Tahoma" w:cs="Tahoma"/>
          <w:sz w:val="22"/>
          <w:szCs w:val="22"/>
        </w:rPr>
        <w:t xml:space="preserve"> </w:t>
      </w:r>
      <w:r w:rsidR="00704C91">
        <w:rPr>
          <w:rFonts w:ascii="Tahoma" w:hAnsi="Tahoma" w:cs="Tahoma"/>
          <w:sz w:val="22"/>
          <w:szCs w:val="22"/>
        </w:rPr>
        <w:fldChar w:fldCharType="begin" w:fldLock="1"/>
      </w:r>
      <w:r w:rsidR="000366A6">
        <w:rPr>
          <w:rFonts w:ascii="Tahoma" w:hAnsi="Tahoma" w:cs="Tahoma"/>
          <w:sz w:val="22"/>
          <w:szCs w:val="22"/>
        </w:rPr>
        <w:instrText>ADDIN CSL_CITATION {"citationItems":[{"id":"ITEM-1","itemData":{"DOI":"10.35905/sipakainge.v3i4.14572","author":[{"dropping-particle":"","family":"Putri","given":"Nabila","non-dropping-particle":"","parse-names":false,"suffix":""}],"container-title":"Sipakainge: Inovasi Penelitian, Karya Ilmiah, dan Pengembangan","id":"ITEM-1","issue":"8","issued":{"date-parts":[["2025"]]},"page":"186-207","title":"Evaluasi Kinerja Maqasid Syariah Terhadap Oprasional Bank Syariah di Era Digitalisasi","type":"article-journal","volume":"3"},"uris":["http://www.mendeley.com/documents/?uuid=ebee3e7d-3f5f-4506-9bcf-56eb34ee9aff"]}],"mendeley":{"formattedCitation":"(Putri, 2025)","plainTextFormattedCitation":"(Putri, 2025)","previouslyFormattedCitation":"(Putri, 2025)"},"properties":{"noteIndex":0},"schema":"https://github.com/citation-style-language/schema/raw/master/csl-citation.json"}</w:instrText>
      </w:r>
      <w:r w:rsidR="00704C91">
        <w:rPr>
          <w:rFonts w:ascii="Tahoma" w:hAnsi="Tahoma" w:cs="Tahoma"/>
          <w:sz w:val="22"/>
          <w:szCs w:val="22"/>
        </w:rPr>
        <w:fldChar w:fldCharType="separate"/>
      </w:r>
      <w:r w:rsidR="00704C91" w:rsidRPr="00704C91">
        <w:rPr>
          <w:rFonts w:ascii="Tahoma" w:hAnsi="Tahoma" w:cs="Tahoma"/>
          <w:noProof/>
          <w:sz w:val="22"/>
          <w:szCs w:val="22"/>
        </w:rPr>
        <w:t>(Putri, 2025)</w:t>
      </w:r>
      <w:r w:rsidR="00704C91">
        <w:rPr>
          <w:rFonts w:ascii="Tahoma" w:hAnsi="Tahoma" w:cs="Tahoma"/>
          <w:sz w:val="22"/>
          <w:szCs w:val="22"/>
        </w:rPr>
        <w:fldChar w:fldCharType="end"/>
      </w:r>
      <w:r w:rsidRPr="00484B8B">
        <w:rPr>
          <w:rFonts w:ascii="Tahoma" w:hAnsi="Tahoma" w:cs="Tahoma"/>
          <w:sz w:val="22"/>
          <w:szCs w:val="22"/>
        </w:rPr>
        <w:t>. Conversely, these outcomes deviate from empirical patterns observed in Malaysia and the Gulf Cooperation Council (GCC) nations, where studies demonstrate a significantly higher degree of convergence between ESG parameters, sustainability strategies, and core banking operations</w:t>
      </w:r>
      <w:r w:rsidR="000366A6">
        <w:rPr>
          <w:rFonts w:ascii="Tahoma" w:hAnsi="Tahoma" w:cs="Tahoma"/>
          <w:sz w:val="22"/>
          <w:szCs w:val="22"/>
        </w:rPr>
        <w:t xml:space="preserve"> </w:t>
      </w:r>
      <w:r w:rsidR="000366A6">
        <w:rPr>
          <w:rFonts w:ascii="Tahoma" w:hAnsi="Tahoma" w:cs="Tahoma"/>
          <w:sz w:val="22"/>
          <w:szCs w:val="22"/>
        </w:rPr>
        <w:fldChar w:fldCharType="begin" w:fldLock="1"/>
      </w:r>
      <w:r w:rsidR="00F54E0C">
        <w:rPr>
          <w:rFonts w:ascii="Tahoma" w:hAnsi="Tahoma" w:cs="Tahoma"/>
          <w:sz w:val="22"/>
          <w:szCs w:val="22"/>
        </w:rPr>
        <w:instrText>ADDIN CSL_CITATION {"citationItems":[{"id":"ITEM-1","itemData":{"DOI":"10.1596/1813-9450-7266","author":[{"dropping-particle":"","family":"Mohieldin","given":"Habib Ahmed Mahmoud","non-dropping-particle":"","parse-names":false,"suffix":""},{"dropping-particle":"","family":"Aboulmagd","given":"Jos Varbeek Farida","non-dropping-particle":"","parse-names":false,"suffix":""}],"container-title":"World Bank Policy Research Working Paper No. 7266","id":"ITEM-1","issued":{"date-parts":[["2015"]]},"number-of-pages":"1-47","title":"On the Sustainable Development Goals and the Role of Islamic Finance","type":"report"},"uris":["http://www.mendeley.com/documents/?uuid=d0ba337f-679f-4124-badb-fa05bac0400c"]}],"mendeley":{"formattedCitation":"(Mohieldin &amp; Aboulmagd, 2015)","plainTextFormattedCitation":"(Mohieldin &amp; Aboulmagd, 2015)","previouslyFormattedCitation":"(Mohieldin &amp; Aboulmagd, 2015)"},"properties":{"noteIndex":0},"schema":"https://github.com/citation-style-language/schema/raw/master/csl-citation.json"}</w:instrText>
      </w:r>
      <w:r w:rsidR="000366A6">
        <w:rPr>
          <w:rFonts w:ascii="Tahoma" w:hAnsi="Tahoma" w:cs="Tahoma"/>
          <w:sz w:val="22"/>
          <w:szCs w:val="22"/>
        </w:rPr>
        <w:fldChar w:fldCharType="separate"/>
      </w:r>
      <w:r w:rsidR="000366A6" w:rsidRPr="000366A6">
        <w:rPr>
          <w:rFonts w:ascii="Tahoma" w:hAnsi="Tahoma" w:cs="Tahoma"/>
          <w:noProof/>
          <w:sz w:val="22"/>
          <w:szCs w:val="22"/>
        </w:rPr>
        <w:t>(Mohieldin &amp; Aboulmagd, 2015)</w:t>
      </w:r>
      <w:r w:rsidR="000366A6">
        <w:rPr>
          <w:rFonts w:ascii="Tahoma" w:hAnsi="Tahoma" w:cs="Tahoma"/>
          <w:sz w:val="22"/>
          <w:szCs w:val="22"/>
        </w:rPr>
        <w:fldChar w:fldCharType="end"/>
      </w:r>
      <w:r w:rsidRPr="00484B8B">
        <w:rPr>
          <w:rFonts w:ascii="Tahoma" w:hAnsi="Tahoma" w:cs="Tahoma"/>
          <w:sz w:val="22"/>
          <w:szCs w:val="22"/>
        </w:rPr>
        <w:t xml:space="preserve">. This operational disparity can be </w:t>
      </w:r>
      <w:r w:rsidR="004F002D">
        <w:rPr>
          <w:rFonts w:ascii="Tahoma" w:hAnsi="Tahoma" w:cs="Tahoma"/>
          <w:sz w:val="22"/>
          <w:szCs w:val="22"/>
        </w:rPr>
        <w:t xml:space="preserve">explained structurally by variations in regulatory maturity, institutional capacity, and ecosystemic support across </w:t>
      </w:r>
      <w:r w:rsidRPr="00484B8B">
        <w:rPr>
          <w:rFonts w:ascii="Tahoma" w:hAnsi="Tahoma" w:cs="Tahoma"/>
          <w:sz w:val="22"/>
          <w:szCs w:val="22"/>
        </w:rPr>
        <w:t xml:space="preserve">jurisdictions. Consequently, within the specific context of DIY, this moderate efficacy </w:t>
      </w:r>
      <w:r w:rsidR="004F002D">
        <w:rPr>
          <w:rFonts w:ascii="Tahoma" w:hAnsi="Tahoma" w:cs="Tahoma"/>
          <w:sz w:val="22"/>
          <w:szCs w:val="22"/>
        </w:rPr>
        <w:t>underscores the need to reinforce sustainability governance as</w:t>
      </w:r>
      <w:r w:rsidRPr="00484B8B">
        <w:rPr>
          <w:rFonts w:ascii="Tahoma" w:hAnsi="Tahoma" w:cs="Tahoma"/>
          <w:sz w:val="22"/>
          <w:szCs w:val="22"/>
        </w:rPr>
        <w:t xml:space="preserve"> an indispensable strategic imperative.</w:t>
      </w:r>
      <w:bookmarkEnd w:id="9"/>
    </w:p>
    <w:p w14:paraId="50549815" w14:textId="78CBD818" w:rsidR="00484B8B" w:rsidRPr="00484B8B" w:rsidRDefault="00484B8B" w:rsidP="000F14E4">
      <w:pPr>
        <w:pStyle w:val="NormalWeb"/>
        <w:spacing w:before="0" w:beforeAutospacing="0" w:after="0" w:afterAutospacing="0" w:line="276" w:lineRule="auto"/>
        <w:ind w:firstLine="567"/>
        <w:contextualSpacing/>
        <w:jc w:val="both"/>
        <w:rPr>
          <w:rFonts w:ascii="Tahoma" w:hAnsi="Tahoma" w:cs="Tahoma"/>
          <w:sz w:val="22"/>
          <w:szCs w:val="22"/>
        </w:rPr>
      </w:pPr>
      <w:r w:rsidRPr="00484B8B">
        <w:rPr>
          <w:rFonts w:ascii="Tahoma" w:hAnsi="Tahoma" w:cs="Tahoma"/>
          <w:sz w:val="22"/>
          <w:szCs w:val="22"/>
        </w:rPr>
        <w:t>Furthermore, this study unearths a crucial paradigm shift, indicating that the fundamental barrier to the sector's development does not reside within quantitative industry growth constraints; rather, it stems from deeply rooted deficits in governance, impact measurement, and multi-stakeholder collaboration. These empirical outcomes strongly endorse the conceptual stance that advancing the Sharia financial architecture requires an integrated ecosystem approach that simultaneously mobilizes regulators, financial institutions, academia, and civil society</w:t>
      </w:r>
      <w:r w:rsidR="00F54E0C">
        <w:rPr>
          <w:rFonts w:ascii="Tahoma" w:hAnsi="Tahoma" w:cs="Tahoma"/>
          <w:sz w:val="22"/>
          <w:szCs w:val="22"/>
        </w:rPr>
        <w:t xml:space="preserve"> </w:t>
      </w:r>
      <w:r w:rsidR="00F54E0C">
        <w:rPr>
          <w:rFonts w:ascii="Tahoma" w:hAnsi="Tahoma" w:cs="Tahoma"/>
          <w:sz w:val="22"/>
          <w:szCs w:val="22"/>
        </w:rPr>
        <w:fldChar w:fldCharType="begin" w:fldLock="1"/>
      </w:r>
      <w:r w:rsidR="00367074">
        <w:rPr>
          <w:rFonts w:ascii="Tahoma" w:hAnsi="Tahoma" w:cs="Tahoma"/>
          <w:sz w:val="22"/>
          <w:szCs w:val="22"/>
        </w:rPr>
        <w:instrText>ADDIN CSL_CITATION {"citationItems":[{"id":"ITEM-1","itemData":{"DOI":"10.56184/jeijournal.v3i2.533","author":[{"dropping-particle":"","family":"Fauzan","given":"","non-dropping-particle":"","parse-names":false,"suffix":""},{"dropping-particle":"","family":"Elena","given":"","non-dropping-particle":"","parse-names":false,"suffix":""},{"dropping-particle":"","family":"Salsabila","given":"Bunga","non-dropping-particle":"","parse-names":false,"suffix":""},{"dropping-particle":"","family":"Alifa","given":"Naufal Luthfi","non-dropping-particle":"","parse-names":false,"suffix":""}],"container-title":"Jurnal Ekonomi Islam","id":"ITEM-1","issue":"2","issued":{"date-parts":[["2025"]]},"page":"87-104","title":"Advokasi dan Kolaborasi Akademik dalam Penguatan Kelembagaan Ekonomi Syariah : Sinergi Ilmu , Etika dan Kebijakan","type":"article-journal","volume":"3"},"uris":["http://www.mendeley.com/documents/?uuid=07492f12-7c50-4042-a94f-5d677d7ad23e"]}],"mendeley":{"formattedCitation":"(Fauzan et al., 2025)","plainTextFormattedCitation":"(Fauzan et al., 2025)","previouslyFormattedCitation":"(Fauzan et al., 2025)"},"properties":{"noteIndex":0},"schema":"https://github.com/citation-style-language/schema/raw/master/csl-citation.json"}</w:instrText>
      </w:r>
      <w:r w:rsidR="00F54E0C">
        <w:rPr>
          <w:rFonts w:ascii="Tahoma" w:hAnsi="Tahoma" w:cs="Tahoma"/>
          <w:sz w:val="22"/>
          <w:szCs w:val="22"/>
        </w:rPr>
        <w:fldChar w:fldCharType="separate"/>
      </w:r>
      <w:r w:rsidR="00F54E0C" w:rsidRPr="00F54E0C">
        <w:rPr>
          <w:rFonts w:ascii="Tahoma" w:hAnsi="Tahoma" w:cs="Tahoma"/>
          <w:noProof/>
          <w:sz w:val="22"/>
          <w:szCs w:val="22"/>
        </w:rPr>
        <w:t>(Fauzan et al., 2025)</w:t>
      </w:r>
      <w:r w:rsidR="00F54E0C">
        <w:rPr>
          <w:rFonts w:ascii="Tahoma" w:hAnsi="Tahoma" w:cs="Tahoma"/>
          <w:sz w:val="22"/>
          <w:szCs w:val="22"/>
        </w:rPr>
        <w:fldChar w:fldCharType="end"/>
      </w:r>
      <w:r w:rsidRPr="00484B8B">
        <w:rPr>
          <w:rFonts w:ascii="Tahoma" w:hAnsi="Tahoma" w:cs="Tahoma"/>
          <w:sz w:val="22"/>
          <w:szCs w:val="22"/>
        </w:rPr>
        <w:t xml:space="preserve">. Conversely, these findings offer a distinctive departure from conventional literature, which </w:t>
      </w:r>
      <w:r w:rsidR="004F002D">
        <w:rPr>
          <w:rFonts w:ascii="Tahoma" w:hAnsi="Tahoma" w:cs="Tahoma"/>
          <w:sz w:val="22"/>
          <w:szCs w:val="22"/>
        </w:rPr>
        <w:t>has traditionally highlighted capital constraints</w:t>
      </w:r>
      <w:r w:rsidRPr="00484B8B">
        <w:rPr>
          <w:rFonts w:ascii="Tahoma" w:hAnsi="Tahoma" w:cs="Tahoma"/>
          <w:sz w:val="22"/>
          <w:szCs w:val="22"/>
        </w:rPr>
        <w:t xml:space="preserve"> and business scale as the definitive hurdles to Islamic banking expansion. Within the sustainable development discourse, the more critical vulnerability </w:t>
      </w:r>
      <w:r w:rsidR="004F002D">
        <w:rPr>
          <w:rFonts w:ascii="Tahoma" w:hAnsi="Tahoma" w:cs="Tahoma"/>
          <w:sz w:val="22"/>
          <w:szCs w:val="22"/>
        </w:rPr>
        <w:t>concerns the historical absence of an operational evaluation framework that systematically links SDG indices to</w:t>
      </w:r>
      <w:r w:rsidRPr="00484B8B">
        <w:rPr>
          <w:rFonts w:ascii="Tahoma" w:hAnsi="Tahoma" w:cs="Tahoma"/>
          <w:sz w:val="22"/>
          <w:szCs w:val="22"/>
        </w:rPr>
        <w:t xml:space="preserve"> </w:t>
      </w:r>
      <w:proofErr w:type="spellStart"/>
      <w:r w:rsidRPr="00484B8B">
        <w:rPr>
          <w:rFonts w:ascii="Tahoma" w:hAnsi="Tahoma" w:cs="Tahoma"/>
          <w:i/>
          <w:iCs/>
          <w:sz w:val="22"/>
          <w:szCs w:val="22"/>
        </w:rPr>
        <w:t>maqashid</w:t>
      </w:r>
      <w:proofErr w:type="spellEnd"/>
      <w:r w:rsidRPr="00484B8B">
        <w:rPr>
          <w:rFonts w:ascii="Tahoma" w:hAnsi="Tahoma" w:cs="Tahoma"/>
          <w:i/>
          <w:iCs/>
          <w:sz w:val="22"/>
          <w:szCs w:val="22"/>
        </w:rPr>
        <w:t xml:space="preserve"> al-</w:t>
      </w:r>
      <w:proofErr w:type="spellStart"/>
      <w:r w:rsidRPr="00484B8B">
        <w:rPr>
          <w:rFonts w:ascii="Tahoma" w:hAnsi="Tahoma" w:cs="Tahoma"/>
          <w:i/>
          <w:iCs/>
          <w:sz w:val="22"/>
          <w:szCs w:val="22"/>
        </w:rPr>
        <w:t>shari'ah</w:t>
      </w:r>
      <w:proofErr w:type="spellEnd"/>
      <w:r w:rsidRPr="00484B8B">
        <w:rPr>
          <w:rFonts w:ascii="Tahoma" w:hAnsi="Tahoma" w:cs="Tahoma"/>
          <w:sz w:val="22"/>
          <w:szCs w:val="22"/>
        </w:rPr>
        <w:t xml:space="preserve"> benchmarks. Consequently, an extensive array of existing financing portfolios and corporate social responsibility initiatives </w:t>
      </w:r>
      <w:r w:rsidR="004F002D">
        <w:rPr>
          <w:rFonts w:ascii="Tahoma" w:hAnsi="Tahoma" w:cs="Tahoma"/>
          <w:sz w:val="22"/>
          <w:szCs w:val="22"/>
        </w:rPr>
        <w:t>remains functionally unquantified in terms of</w:t>
      </w:r>
      <w:r w:rsidRPr="00484B8B">
        <w:rPr>
          <w:rFonts w:ascii="Tahoma" w:hAnsi="Tahoma" w:cs="Tahoma"/>
          <w:sz w:val="22"/>
          <w:szCs w:val="22"/>
        </w:rPr>
        <w:t xml:space="preserve"> their comprehensive contributions toward localized global sustainability targets.</w:t>
      </w:r>
    </w:p>
    <w:p w14:paraId="585B3FEF" w14:textId="2613D382" w:rsidR="00484B8B" w:rsidRPr="00484B8B" w:rsidRDefault="00484B8B" w:rsidP="000F14E4">
      <w:pPr>
        <w:pStyle w:val="NormalWeb"/>
        <w:spacing w:before="0" w:beforeAutospacing="0" w:after="0" w:afterAutospacing="0" w:line="276" w:lineRule="auto"/>
        <w:ind w:firstLine="567"/>
        <w:contextualSpacing/>
        <w:jc w:val="both"/>
        <w:rPr>
          <w:rFonts w:ascii="Tahoma" w:hAnsi="Tahoma" w:cs="Tahoma"/>
          <w:sz w:val="22"/>
          <w:szCs w:val="22"/>
        </w:rPr>
      </w:pPr>
      <w:r w:rsidRPr="00484B8B">
        <w:rPr>
          <w:rFonts w:ascii="Tahoma" w:hAnsi="Tahoma" w:cs="Tahoma"/>
          <w:sz w:val="22"/>
          <w:szCs w:val="22"/>
        </w:rPr>
        <w:t xml:space="preserve">The primary theoretical contribution of this study resides in the formulation of a strategic framework that systematically integrates the United Nations SDGs with </w:t>
      </w:r>
      <w:proofErr w:type="spellStart"/>
      <w:r w:rsidRPr="00484B8B">
        <w:rPr>
          <w:rFonts w:ascii="Tahoma" w:hAnsi="Tahoma" w:cs="Tahoma"/>
          <w:i/>
          <w:iCs/>
          <w:sz w:val="22"/>
          <w:szCs w:val="22"/>
        </w:rPr>
        <w:t>maqashid</w:t>
      </w:r>
      <w:proofErr w:type="spellEnd"/>
      <w:r w:rsidRPr="00484B8B">
        <w:rPr>
          <w:rFonts w:ascii="Tahoma" w:hAnsi="Tahoma" w:cs="Tahoma"/>
          <w:i/>
          <w:iCs/>
          <w:sz w:val="22"/>
          <w:szCs w:val="22"/>
        </w:rPr>
        <w:t xml:space="preserve"> al-</w:t>
      </w:r>
      <w:proofErr w:type="spellStart"/>
      <w:r w:rsidRPr="00484B8B">
        <w:rPr>
          <w:rFonts w:ascii="Tahoma" w:hAnsi="Tahoma" w:cs="Tahoma"/>
          <w:i/>
          <w:iCs/>
          <w:sz w:val="22"/>
          <w:szCs w:val="22"/>
        </w:rPr>
        <w:t>shari'ah</w:t>
      </w:r>
      <w:proofErr w:type="spellEnd"/>
      <w:r w:rsidRPr="00484B8B">
        <w:rPr>
          <w:rFonts w:ascii="Tahoma" w:hAnsi="Tahoma" w:cs="Tahoma"/>
          <w:sz w:val="22"/>
          <w:szCs w:val="22"/>
        </w:rPr>
        <w:t xml:space="preserve"> inside internal banking performance assessment systems. While </w:t>
      </w:r>
      <w:r w:rsidR="004F002D">
        <w:rPr>
          <w:rFonts w:ascii="Tahoma" w:hAnsi="Tahoma" w:cs="Tahoma"/>
          <w:sz w:val="22"/>
          <w:szCs w:val="22"/>
        </w:rPr>
        <w:t xml:space="preserve">the extant literature predominantly discusses these two conceptual paradigms in parallel, disconnected ways, this inquiry demonstrates that </w:t>
      </w:r>
      <w:proofErr w:type="spellStart"/>
      <w:r w:rsidR="004F002D">
        <w:rPr>
          <w:rFonts w:ascii="Tahoma" w:hAnsi="Tahoma" w:cs="Tahoma"/>
          <w:sz w:val="22"/>
          <w:szCs w:val="22"/>
        </w:rPr>
        <w:t>maqashid</w:t>
      </w:r>
      <w:proofErr w:type="spellEnd"/>
      <w:r w:rsidR="004F002D">
        <w:rPr>
          <w:rFonts w:ascii="Tahoma" w:hAnsi="Tahoma" w:cs="Tahoma"/>
          <w:sz w:val="22"/>
          <w:szCs w:val="22"/>
        </w:rPr>
        <w:t xml:space="preserve"> al-</w:t>
      </w:r>
      <w:proofErr w:type="spellStart"/>
      <w:r w:rsidR="004F002D">
        <w:rPr>
          <w:rFonts w:ascii="Tahoma" w:hAnsi="Tahoma" w:cs="Tahoma"/>
          <w:sz w:val="22"/>
          <w:szCs w:val="22"/>
        </w:rPr>
        <w:t>shari'ah</w:t>
      </w:r>
      <w:proofErr w:type="spellEnd"/>
      <w:r w:rsidR="004F002D">
        <w:rPr>
          <w:rFonts w:ascii="Tahoma" w:hAnsi="Tahoma" w:cs="Tahoma"/>
          <w:sz w:val="22"/>
          <w:szCs w:val="22"/>
        </w:rPr>
        <w:t xml:space="preserve"> can serve as a structural normative anchor to evaluate the operational efficacy of SDG</w:t>
      </w:r>
      <w:r w:rsidRPr="00484B8B">
        <w:rPr>
          <w:rFonts w:ascii="Tahoma" w:hAnsi="Tahoma" w:cs="Tahoma"/>
          <w:sz w:val="22"/>
          <w:szCs w:val="22"/>
        </w:rPr>
        <w:t xml:space="preserve"> implementation within the Sharia financial sector. Consequently, this research extends the contemporary discourse on the intersection </w:t>
      </w:r>
      <w:r w:rsidR="004F002D">
        <w:rPr>
          <w:rFonts w:ascii="Tahoma" w:hAnsi="Tahoma" w:cs="Tahoma"/>
          <w:sz w:val="22"/>
          <w:szCs w:val="22"/>
        </w:rPr>
        <w:t>of sustainable development and Islamic economics, moving from a speculative conceptual alignment to a replicable operational methodology capable of institutional implementation</w:t>
      </w:r>
      <w:r w:rsidRPr="00484B8B">
        <w:rPr>
          <w:rFonts w:ascii="Tahoma" w:hAnsi="Tahoma" w:cs="Tahoma"/>
          <w:sz w:val="22"/>
          <w:szCs w:val="22"/>
        </w:rPr>
        <w:t>.</w:t>
      </w:r>
    </w:p>
    <w:p w14:paraId="3FB099A7" w14:textId="58567186" w:rsidR="00484B8B" w:rsidRPr="00484B8B" w:rsidRDefault="00484B8B" w:rsidP="000F14E4">
      <w:pPr>
        <w:pStyle w:val="NormalWeb"/>
        <w:spacing w:before="0" w:beforeAutospacing="0" w:after="0" w:afterAutospacing="0" w:line="276" w:lineRule="auto"/>
        <w:ind w:firstLine="567"/>
        <w:contextualSpacing/>
        <w:jc w:val="both"/>
        <w:rPr>
          <w:rFonts w:ascii="Tahoma" w:hAnsi="Tahoma" w:cs="Tahoma"/>
          <w:sz w:val="22"/>
          <w:szCs w:val="22"/>
        </w:rPr>
      </w:pPr>
      <w:r w:rsidRPr="00484B8B">
        <w:rPr>
          <w:rFonts w:ascii="Tahoma" w:hAnsi="Tahoma" w:cs="Tahoma"/>
          <w:sz w:val="22"/>
          <w:szCs w:val="22"/>
        </w:rPr>
        <w:t xml:space="preserve">From a practical standpoint, these empirical findings yield significant actionable implications for regulators and the Islamic banking industry in Indonesia. Specifically, the Financial Services Authority (OJK), the National Committee for Islamic Economy and Finance (KNEKS), and Sharia banking institutions must collaboratively engineer key performance indicators (KPIs) that systematically embed SDGs metrics and </w:t>
      </w:r>
      <w:proofErr w:type="spellStart"/>
      <w:r w:rsidRPr="00484B8B">
        <w:rPr>
          <w:rFonts w:ascii="Tahoma" w:hAnsi="Tahoma" w:cs="Tahoma"/>
          <w:i/>
          <w:iCs/>
          <w:sz w:val="22"/>
          <w:szCs w:val="22"/>
        </w:rPr>
        <w:t>maqashid</w:t>
      </w:r>
      <w:proofErr w:type="spellEnd"/>
      <w:r w:rsidRPr="00484B8B">
        <w:rPr>
          <w:rFonts w:ascii="Tahoma" w:hAnsi="Tahoma" w:cs="Tahoma"/>
          <w:sz w:val="22"/>
          <w:szCs w:val="22"/>
        </w:rPr>
        <w:t xml:space="preserve"> values into corporate disclosure systems. Furthermore, intensifying strategic alliances among Islamic financial intermediaries, municipal governments, Islamic philanthropic organizations, and higher education institutions is imperative to scale up the </w:t>
      </w:r>
      <w:r w:rsidRPr="00484B8B">
        <w:rPr>
          <w:rFonts w:ascii="Tahoma" w:hAnsi="Tahoma" w:cs="Tahoma"/>
          <w:sz w:val="22"/>
          <w:szCs w:val="22"/>
        </w:rPr>
        <w:lastRenderedPageBreak/>
        <w:t>socioeconomic impacts of regional development initiatives. Such a coordinated strategy enables a structural paradigm shift within Sharia banking, transitioning from a reactive, compliance-oriented model to a proactive, value-driven framework centered on sustainable public utility (</w:t>
      </w:r>
      <w:proofErr w:type="spellStart"/>
      <w:r w:rsidRPr="00484B8B">
        <w:rPr>
          <w:rFonts w:ascii="Tahoma" w:hAnsi="Tahoma" w:cs="Tahoma"/>
          <w:i/>
          <w:iCs/>
          <w:sz w:val="22"/>
          <w:szCs w:val="22"/>
        </w:rPr>
        <w:t>maslahah</w:t>
      </w:r>
      <w:proofErr w:type="spellEnd"/>
      <w:r w:rsidRPr="00484B8B">
        <w:rPr>
          <w:rFonts w:ascii="Tahoma" w:hAnsi="Tahoma" w:cs="Tahoma"/>
          <w:sz w:val="22"/>
          <w:szCs w:val="22"/>
        </w:rPr>
        <w:t xml:space="preserve">). Within the conceptual discourse of Sharia Economic Law, this transformation represents the operational actualization of Islamic legal objectives, </w:t>
      </w:r>
      <w:r w:rsidR="004F002D">
        <w:rPr>
          <w:rFonts w:ascii="Tahoma" w:hAnsi="Tahoma" w:cs="Tahoma"/>
          <w:sz w:val="22"/>
          <w:szCs w:val="22"/>
        </w:rPr>
        <w:t>guaranteeing formal jurisprudential compliance while reinforcing tangible contributions to</w:t>
      </w:r>
      <w:r w:rsidRPr="00484B8B">
        <w:rPr>
          <w:rFonts w:ascii="Tahoma" w:hAnsi="Tahoma" w:cs="Tahoma"/>
          <w:sz w:val="22"/>
          <w:szCs w:val="22"/>
        </w:rPr>
        <w:t xml:space="preserve"> societal welfare and ecological sustainability.</w:t>
      </w:r>
    </w:p>
    <w:p w14:paraId="75036FBC" w14:textId="445CA195" w:rsidR="00484B8B" w:rsidRDefault="00484B8B" w:rsidP="000F14E4">
      <w:pPr>
        <w:pStyle w:val="NormalWeb"/>
        <w:spacing w:before="0" w:beforeAutospacing="0" w:after="0" w:afterAutospacing="0" w:line="276" w:lineRule="auto"/>
        <w:ind w:firstLine="567"/>
        <w:contextualSpacing/>
        <w:jc w:val="both"/>
        <w:rPr>
          <w:rFonts w:ascii="Tahoma" w:hAnsi="Tahoma" w:cs="Tahoma"/>
          <w:sz w:val="22"/>
          <w:szCs w:val="22"/>
        </w:rPr>
      </w:pPr>
      <w:r w:rsidRPr="00484B8B">
        <w:rPr>
          <w:rFonts w:ascii="Tahoma" w:hAnsi="Tahoma" w:cs="Tahoma"/>
          <w:sz w:val="22"/>
          <w:szCs w:val="22"/>
        </w:rPr>
        <w:t xml:space="preserve">To mathematically and conceptually synthesize the operational alignment between Islamic jurisprudence and global sustainability, the structural intersections are systematically mapped inside the following matrix. This cross-tabulation contextualizes how specific socioeconomic and ethical mandates within Sharia goals directly underwrite, amplify, and operationalize targeted global sustainability indicators within the regional banking sector. Consequently, this analytical framework provides a transparent blueprint for institutional decision-makers to evaluate holistic value creation that simultaneously </w:t>
      </w:r>
      <w:r w:rsidR="004F002D">
        <w:rPr>
          <w:rFonts w:ascii="Tahoma" w:hAnsi="Tahoma" w:cs="Tahoma"/>
          <w:sz w:val="22"/>
          <w:szCs w:val="22"/>
        </w:rPr>
        <w:t>meets religious compliance requirements and international development</w:t>
      </w:r>
      <w:r w:rsidRPr="00484B8B">
        <w:rPr>
          <w:rFonts w:ascii="Tahoma" w:hAnsi="Tahoma" w:cs="Tahoma"/>
          <w:sz w:val="22"/>
          <w:szCs w:val="22"/>
        </w:rPr>
        <w:t xml:space="preserve"> standards.</w:t>
      </w:r>
    </w:p>
    <w:p w14:paraId="59BF6447" w14:textId="77777777" w:rsidR="000F14E4" w:rsidRPr="00484B8B" w:rsidRDefault="000F14E4" w:rsidP="000F14E4">
      <w:pPr>
        <w:pStyle w:val="NormalWeb"/>
        <w:spacing w:before="0" w:beforeAutospacing="0" w:after="0" w:afterAutospacing="0" w:line="276" w:lineRule="auto"/>
        <w:ind w:firstLine="567"/>
        <w:contextualSpacing/>
        <w:jc w:val="both"/>
        <w:rPr>
          <w:rFonts w:ascii="Tahoma" w:hAnsi="Tahoma" w:cs="Tahoma"/>
          <w:sz w:val="22"/>
          <w:szCs w:val="22"/>
        </w:rPr>
      </w:pPr>
    </w:p>
    <w:p w14:paraId="1FE277DC" w14:textId="537AF20F" w:rsidR="00484B8B" w:rsidRDefault="00484B8B" w:rsidP="009F3712">
      <w:pPr>
        <w:pStyle w:val="Caption"/>
        <w:spacing w:after="0"/>
        <w:jc w:val="center"/>
        <w:rPr>
          <w:rFonts w:ascii="Tahoma" w:hAnsi="Tahoma" w:cs="Tahoma"/>
          <w:b/>
          <w:bCs/>
          <w:i w:val="0"/>
          <w:iCs w:val="0"/>
          <w:color w:val="auto"/>
          <w:sz w:val="22"/>
          <w:szCs w:val="22"/>
        </w:rPr>
      </w:pPr>
      <w:r w:rsidRPr="00484B8B">
        <w:rPr>
          <w:rFonts w:ascii="Tahoma" w:hAnsi="Tahoma" w:cs="Tahoma"/>
          <w:b/>
          <w:bCs/>
          <w:i w:val="0"/>
          <w:iCs w:val="0"/>
          <w:color w:val="auto"/>
          <w:sz w:val="22"/>
          <w:szCs w:val="22"/>
        </w:rPr>
        <w:t xml:space="preserve">Table </w:t>
      </w:r>
      <w:r w:rsidRPr="00484B8B">
        <w:rPr>
          <w:rFonts w:ascii="Tahoma" w:hAnsi="Tahoma" w:cs="Tahoma"/>
          <w:b/>
          <w:bCs/>
          <w:i w:val="0"/>
          <w:iCs w:val="0"/>
          <w:color w:val="auto"/>
          <w:sz w:val="22"/>
          <w:szCs w:val="22"/>
        </w:rPr>
        <w:fldChar w:fldCharType="begin"/>
      </w:r>
      <w:r w:rsidRPr="00484B8B">
        <w:rPr>
          <w:rFonts w:ascii="Tahoma" w:hAnsi="Tahoma" w:cs="Tahoma"/>
          <w:b/>
          <w:bCs/>
          <w:i w:val="0"/>
          <w:iCs w:val="0"/>
          <w:color w:val="auto"/>
          <w:sz w:val="22"/>
          <w:szCs w:val="22"/>
        </w:rPr>
        <w:instrText xml:space="preserve"> SEQ Table \* ARABIC </w:instrText>
      </w:r>
      <w:r w:rsidRPr="00484B8B">
        <w:rPr>
          <w:rFonts w:ascii="Tahoma" w:hAnsi="Tahoma" w:cs="Tahoma"/>
          <w:b/>
          <w:bCs/>
          <w:i w:val="0"/>
          <w:iCs w:val="0"/>
          <w:color w:val="auto"/>
          <w:sz w:val="22"/>
          <w:szCs w:val="22"/>
        </w:rPr>
        <w:fldChar w:fldCharType="separate"/>
      </w:r>
      <w:r w:rsidRPr="00484B8B">
        <w:rPr>
          <w:rFonts w:ascii="Tahoma" w:hAnsi="Tahoma" w:cs="Tahoma"/>
          <w:b/>
          <w:bCs/>
          <w:i w:val="0"/>
          <w:iCs w:val="0"/>
          <w:noProof/>
          <w:color w:val="auto"/>
          <w:sz w:val="22"/>
          <w:szCs w:val="22"/>
        </w:rPr>
        <w:t>3</w:t>
      </w:r>
      <w:r w:rsidRPr="00484B8B">
        <w:rPr>
          <w:rFonts w:ascii="Tahoma" w:hAnsi="Tahoma" w:cs="Tahoma"/>
          <w:b/>
          <w:bCs/>
          <w:i w:val="0"/>
          <w:iCs w:val="0"/>
          <w:color w:val="auto"/>
          <w:sz w:val="22"/>
          <w:szCs w:val="22"/>
        </w:rPr>
        <w:fldChar w:fldCharType="end"/>
      </w:r>
      <w:r w:rsidRPr="00484B8B">
        <w:rPr>
          <w:rFonts w:ascii="Tahoma" w:hAnsi="Tahoma" w:cs="Tahoma"/>
          <w:b/>
          <w:bCs/>
          <w:i w:val="0"/>
          <w:iCs w:val="0"/>
          <w:color w:val="auto"/>
          <w:sz w:val="22"/>
          <w:szCs w:val="22"/>
        </w:rPr>
        <w:t xml:space="preserve">. Integration Matrix of </w:t>
      </w:r>
      <w:proofErr w:type="spellStart"/>
      <w:r w:rsidRPr="00484B8B">
        <w:rPr>
          <w:rFonts w:ascii="Tahoma" w:hAnsi="Tahoma" w:cs="Tahoma"/>
          <w:b/>
          <w:bCs/>
          <w:i w:val="0"/>
          <w:iCs w:val="0"/>
          <w:color w:val="auto"/>
          <w:sz w:val="22"/>
          <w:szCs w:val="22"/>
        </w:rPr>
        <w:t>Maqashid</w:t>
      </w:r>
      <w:proofErr w:type="spellEnd"/>
      <w:r w:rsidRPr="00484B8B">
        <w:rPr>
          <w:rFonts w:ascii="Tahoma" w:hAnsi="Tahoma" w:cs="Tahoma"/>
          <w:b/>
          <w:bCs/>
          <w:i w:val="0"/>
          <w:iCs w:val="0"/>
          <w:color w:val="auto"/>
          <w:sz w:val="22"/>
          <w:szCs w:val="22"/>
        </w:rPr>
        <w:t xml:space="preserve"> al-</w:t>
      </w:r>
      <w:proofErr w:type="spellStart"/>
      <w:r w:rsidRPr="00484B8B">
        <w:rPr>
          <w:rFonts w:ascii="Tahoma" w:hAnsi="Tahoma" w:cs="Tahoma"/>
          <w:b/>
          <w:bCs/>
          <w:i w:val="0"/>
          <w:iCs w:val="0"/>
          <w:color w:val="auto"/>
          <w:sz w:val="22"/>
          <w:szCs w:val="22"/>
        </w:rPr>
        <w:t>Shari'ah</w:t>
      </w:r>
      <w:proofErr w:type="spellEnd"/>
      <w:r w:rsidRPr="00484B8B">
        <w:rPr>
          <w:rFonts w:ascii="Tahoma" w:hAnsi="Tahoma" w:cs="Tahoma"/>
          <w:b/>
          <w:bCs/>
          <w:i w:val="0"/>
          <w:iCs w:val="0"/>
          <w:color w:val="auto"/>
          <w:sz w:val="22"/>
          <w:szCs w:val="22"/>
        </w:rPr>
        <w:t xml:space="preserve"> and SDG Targets in Islamic Banking of DIY</w:t>
      </w:r>
      <w:bookmarkStart w:id="10" w:name="_Hlk233826681"/>
    </w:p>
    <w:tbl>
      <w:tblPr>
        <w:tblStyle w:val="PlainTable2"/>
        <w:tblW w:w="8579" w:type="dxa"/>
        <w:tblLook w:val="04A0" w:firstRow="1" w:lastRow="0" w:firstColumn="1" w:lastColumn="0" w:noHBand="0" w:noVBand="1"/>
      </w:tblPr>
      <w:tblGrid>
        <w:gridCol w:w="1640"/>
        <w:gridCol w:w="2081"/>
        <w:gridCol w:w="2351"/>
        <w:gridCol w:w="2507"/>
      </w:tblGrid>
      <w:tr w:rsidR="007F1D7E" w:rsidRPr="007F1D7E" w14:paraId="4CB6BA6E" w14:textId="77777777" w:rsidTr="00D94769">
        <w:trPr>
          <w:cnfStyle w:val="100000000000" w:firstRow="1" w:lastRow="0" w:firstColumn="0" w:lastColumn="0" w:oddVBand="0" w:evenVBand="0" w:oddHBand="0" w:evenHBand="0" w:firstRowFirstColumn="0" w:firstRowLastColumn="0" w:lastRowFirstColumn="0" w:lastRowLastColumn="0"/>
          <w:trHeight w:val="657"/>
          <w:tblHeader/>
        </w:trPr>
        <w:tc>
          <w:tcPr>
            <w:cnfStyle w:val="001000000000" w:firstRow="0" w:lastRow="0" w:firstColumn="1" w:lastColumn="0" w:oddVBand="0" w:evenVBand="0" w:oddHBand="0" w:evenHBand="0" w:firstRowFirstColumn="0" w:firstRowLastColumn="0" w:lastRowFirstColumn="0" w:lastRowLastColumn="0"/>
            <w:tcW w:w="1640" w:type="dxa"/>
            <w:tcBorders>
              <w:top w:val="single" w:sz="4" w:space="0" w:color="7F7F7F" w:themeColor="text1" w:themeTint="80"/>
              <w:right w:val="single" w:sz="4" w:space="0" w:color="auto"/>
            </w:tcBorders>
            <w:hideMark/>
          </w:tcPr>
          <w:p w14:paraId="413E33F1" w14:textId="77777777" w:rsidR="007F1D7E" w:rsidRPr="007F1D7E" w:rsidRDefault="007F1D7E" w:rsidP="009F3712">
            <w:pPr>
              <w:contextualSpacing/>
              <w:jc w:val="center"/>
              <w:rPr>
                <w:rFonts w:ascii="Tahoma" w:hAnsi="Tahoma" w:cs="Tahoma"/>
                <w:b w:val="0"/>
                <w:bCs w:val="0"/>
                <w:color w:val="000000" w:themeColor="text1"/>
                <w:sz w:val="22"/>
                <w:szCs w:val="22"/>
              </w:rPr>
            </w:pPr>
            <w:r w:rsidRPr="007F1D7E">
              <w:rPr>
                <w:rFonts w:ascii="Tahoma" w:hAnsi="Tahoma" w:cs="Tahoma"/>
                <w:color w:val="000000" w:themeColor="text1"/>
                <w:sz w:val="22"/>
                <w:szCs w:val="22"/>
              </w:rPr>
              <w:t xml:space="preserve">The Dimensions of </w:t>
            </w:r>
            <w:proofErr w:type="spellStart"/>
            <w:r w:rsidRPr="007F1D7E">
              <w:rPr>
                <w:rFonts w:ascii="Tahoma" w:hAnsi="Tahoma" w:cs="Tahoma"/>
                <w:color w:val="000000" w:themeColor="text1"/>
                <w:sz w:val="22"/>
                <w:szCs w:val="22"/>
              </w:rPr>
              <w:t>Maqasid</w:t>
            </w:r>
            <w:proofErr w:type="spellEnd"/>
            <w:r w:rsidRPr="007F1D7E">
              <w:rPr>
                <w:rFonts w:ascii="Tahoma" w:hAnsi="Tahoma" w:cs="Tahoma"/>
                <w:color w:val="000000" w:themeColor="text1"/>
                <w:sz w:val="22"/>
                <w:szCs w:val="22"/>
              </w:rPr>
              <w:t xml:space="preserve"> Shariah</w:t>
            </w:r>
          </w:p>
        </w:tc>
        <w:tc>
          <w:tcPr>
            <w:tcW w:w="0" w:type="auto"/>
            <w:tcBorders>
              <w:top w:val="single" w:sz="4" w:space="0" w:color="7F7F7F" w:themeColor="text1" w:themeTint="80"/>
              <w:left w:val="single" w:sz="4" w:space="0" w:color="auto"/>
              <w:right w:val="single" w:sz="4" w:space="0" w:color="auto"/>
            </w:tcBorders>
            <w:hideMark/>
          </w:tcPr>
          <w:p w14:paraId="0A5B7B06" w14:textId="77777777" w:rsidR="007F1D7E" w:rsidRPr="007F1D7E" w:rsidRDefault="007F1D7E" w:rsidP="009F3712">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bCs w:val="0"/>
                <w:color w:val="000000" w:themeColor="text1"/>
                <w:sz w:val="22"/>
                <w:szCs w:val="22"/>
              </w:rPr>
            </w:pPr>
            <w:r w:rsidRPr="007F1D7E">
              <w:rPr>
                <w:rFonts w:ascii="Tahoma" w:hAnsi="Tahoma" w:cs="Tahoma"/>
                <w:color w:val="000000" w:themeColor="text1"/>
                <w:sz w:val="22"/>
                <w:szCs w:val="22"/>
              </w:rPr>
              <w:t>Relevant SDG Targets</w:t>
            </w:r>
          </w:p>
        </w:tc>
        <w:tc>
          <w:tcPr>
            <w:tcW w:w="0" w:type="auto"/>
            <w:tcBorders>
              <w:top w:val="single" w:sz="4" w:space="0" w:color="7F7F7F" w:themeColor="text1" w:themeTint="80"/>
              <w:left w:val="single" w:sz="4" w:space="0" w:color="auto"/>
              <w:right w:val="single" w:sz="4" w:space="0" w:color="auto"/>
            </w:tcBorders>
            <w:hideMark/>
          </w:tcPr>
          <w:p w14:paraId="728B39D1" w14:textId="77777777" w:rsidR="007F1D7E" w:rsidRPr="007F1D7E" w:rsidRDefault="007F1D7E" w:rsidP="009F3712">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bCs w:val="0"/>
                <w:color w:val="000000" w:themeColor="text1"/>
                <w:sz w:val="22"/>
                <w:szCs w:val="22"/>
              </w:rPr>
            </w:pPr>
            <w:r w:rsidRPr="007F1D7E">
              <w:rPr>
                <w:rFonts w:ascii="Tahoma" w:hAnsi="Tahoma" w:cs="Tahoma"/>
                <w:color w:val="000000" w:themeColor="text1"/>
                <w:sz w:val="22"/>
                <w:szCs w:val="22"/>
              </w:rPr>
              <w:t>Operational Indicators &amp; Financing Policy</w:t>
            </w:r>
          </w:p>
        </w:tc>
        <w:tc>
          <w:tcPr>
            <w:tcW w:w="0" w:type="auto"/>
            <w:tcBorders>
              <w:left w:val="single" w:sz="4" w:space="0" w:color="auto"/>
            </w:tcBorders>
            <w:hideMark/>
          </w:tcPr>
          <w:p w14:paraId="6236004F" w14:textId="77777777" w:rsidR="007F1D7E" w:rsidRPr="007F1D7E" w:rsidRDefault="007F1D7E" w:rsidP="009F3712">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bCs w:val="0"/>
                <w:color w:val="000000" w:themeColor="text1"/>
                <w:sz w:val="22"/>
                <w:szCs w:val="22"/>
              </w:rPr>
            </w:pPr>
            <w:r w:rsidRPr="007F1D7E">
              <w:rPr>
                <w:rFonts w:ascii="Tahoma" w:hAnsi="Tahoma" w:cs="Tahoma"/>
                <w:color w:val="000000" w:themeColor="text1"/>
                <w:sz w:val="22"/>
                <w:szCs w:val="22"/>
              </w:rPr>
              <w:t>Institutional Strengthening Strategy (DIY)</w:t>
            </w:r>
          </w:p>
        </w:tc>
      </w:tr>
      <w:tr w:rsidR="007F1D7E" w:rsidRPr="007F1D7E" w14:paraId="68A93C69" w14:textId="77777777" w:rsidTr="00D94769">
        <w:trPr>
          <w:cnfStyle w:val="000000100000" w:firstRow="0" w:lastRow="0" w:firstColumn="0" w:lastColumn="0" w:oddVBand="0" w:evenVBand="0" w:oddHBand="1" w:evenHBand="0" w:firstRowFirstColumn="0" w:firstRowLastColumn="0" w:lastRowFirstColumn="0" w:lastRowLastColumn="0"/>
          <w:trHeight w:val="1535"/>
        </w:trPr>
        <w:tc>
          <w:tcPr>
            <w:cnfStyle w:val="001000000000" w:firstRow="0" w:lastRow="0" w:firstColumn="1" w:lastColumn="0" w:oddVBand="0" w:evenVBand="0" w:oddHBand="0" w:evenHBand="0" w:firstRowFirstColumn="0" w:firstRowLastColumn="0" w:lastRowFirstColumn="0" w:lastRowLastColumn="0"/>
            <w:tcW w:w="1640" w:type="dxa"/>
            <w:tcBorders>
              <w:right w:val="single" w:sz="4" w:space="0" w:color="auto"/>
            </w:tcBorders>
            <w:hideMark/>
          </w:tcPr>
          <w:p w14:paraId="191ADEBD" w14:textId="77777777" w:rsidR="007F1D7E" w:rsidRPr="007F1D7E" w:rsidRDefault="007F1D7E" w:rsidP="007F1D7E">
            <w:pPr>
              <w:contextualSpacing/>
              <w:rPr>
                <w:rFonts w:ascii="Tahoma" w:hAnsi="Tahoma" w:cs="Tahoma"/>
                <w:b w:val="0"/>
                <w:bCs w:val="0"/>
                <w:color w:val="000000" w:themeColor="text1"/>
                <w:sz w:val="22"/>
                <w:szCs w:val="22"/>
              </w:rPr>
            </w:pPr>
            <w:r w:rsidRPr="007F1D7E">
              <w:rPr>
                <w:rFonts w:ascii="Tahoma" w:hAnsi="Tahoma" w:cs="Tahoma"/>
                <w:b w:val="0"/>
                <w:bCs w:val="0"/>
                <w:color w:val="000000" w:themeColor="text1"/>
                <w:sz w:val="22"/>
                <w:szCs w:val="22"/>
              </w:rPr>
              <w:t>Hifz al-Din (Preservation of Religion)</w:t>
            </w:r>
          </w:p>
        </w:tc>
        <w:tc>
          <w:tcPr>
            <w:tcW w:w="0" w:type="auto"/>
            <w:tcBorders>
              <w:left w:val="single" w:sz="4" w:space="0" w:color="auto"/>
              <w:right w:val="single" w:sz="4" w:space="0" w:color="auto"/>
            </w:tcBorders>
            <w:hideMark/>
          </w:tcPr>
          <w:p w14:paraId="36DFA4CB" w14:textId="77777777" w:rsidR="007F1D7E" w:rsidRPr="007F1D7E" w:rsidRDefault="007F1D7E" w:rsidP="007F1D7E">
            <w:pPr>
              <w:contextualSpacing/>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sidRPr="007F1D7E">
              <w:rPr>
                <w:rFonts w:ascii="Tahoma" w:hAnsi="Tahoma" w:cs="Tahoma"/>
                <w:bCs/>
                <w:color w:val="000000" w:themeColor="text1"/>
                <w:sz w:val="22"/>
                <w:szCs w:val="22"/>
              </w:rPr>
              <w:t>SDG 12: Responsible Consumption and Production</w:t>
            </w:r>
          </w:p>
        </w:tc>
        <w:tc>
          <w:tcPr>
            <w:tcW w:w="0" w:type="auto"/>
            <w:tcBorders>
              <w:left w:val="single" w:sz="4" w:space="0" w:color="auto"/>
              <w:right w:val="single" w:sz="4" w:space="0" w:color="auto"/>
            </w:tcBorders>
            <w:hideMark/>
          </w:tcPr>
          <w:p w14:paraId="3CC1D910" w14:textId="77777777" w:rsidR="007F1D7E" w:rsidRPr="007F1D7E" w:rsidRDefault="007F1D7E" w:rsidP="007F1D7E">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sidRPr="007F1D7E">
              <w:rPr>
                <w:rFonts w:ascii="Tahoma" w:hAnsi="Tahoma" w:cs="Tahoma"/>
                <w:color w:val="000000" w:themeColor="text1"/>
                <w:sz w:val="22"/>
                <w:szCs w:val="22"/>
              </w:rPr>
              <w:t xml:space="preserve">Rigorous Sharia compliance screening and the application of transparent </w:t>
            </w:r>
            <w:proofErr w:type="spellStart"/>
            <w:r w:rsidRPr="007F1D7E">
              <w:rPr>
                <w:rFonts w:ascii="Tahoma" w:hAnsi="Tahoma" w:cs="Tahoma"/>
                <w:color w:val="000000" w:themeColor="text1"/>
                <w:sz w:val="22"/>
                <w:szCs w:val="22"/>
              </w:rPr>
              <w:t>Muamalah</w:t>
            </w:r>
            <w:proofErr w:type="spellEnd"/>
            <w:r w:rsidRPr="007F1D7E">
              <w:rPr>
                <w:rFonts w:ascii="Tahoma" w:hAnsi="Tahoma" w:cs="Tahoma"/>
                <w:color w:val="000000" w:themeColor="text1"/>
                <w:sz w:val="22"/>
                <w:szCs w:val="22"/>
              </w:rPr>
              <w:t xml:space="preserve"> business ethics.</w:t>
            </w:r>
          </w:p>
        </w:tc>
        <w:tc>
          <w:tcPr>
            <w:tcW w:w="0" w:type="auto"/>
            <w:tcBorders>
              <w:left w:val="single" w:sz="4" w:space="0" w:color="auto"/>
            </w:tcBorders>
            <w:hideMark/>
          </w:tcPr>
          <w:p w14:paraId="73B10211" w14:textId="77777777" w:rsidR="007F1D7E" w:rsidRPr="007F1D7E" w:rsidRDefault="007F1D7E" w:rsidP="007F1D7E">
            <w:pPr>
              <w:contextualSpacing/>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sidRPr="007F1D7E">
              <w:rPr>
                <w:rFonts w:ascii="Tahoma" w:hAnsi="Tahoma" w:cs="Tahoma"/>
                <w:color w:val="000000" w:themeColor="text1"/>
                <w:sz w:val="22"/>
                <w:szCs w:val="22"/>
              </w:rPr>
              <w:t>A transformation from merely Sharia-compliant (formal adherence) to Sharia-based (oriented towards the value of justice).</w:t>
            </w:r>
          </w:p>
        </w:tc>
      </w:tr>
      <w:tr w:rsidR="007F1D7E" w:rsidRPr="007F1D7E" w14:paraId="68F368FC" w14:textId="77777777" w:rsidTr="00D94769">
        <w:trPr>
          <w:trHeight w:val="1548"/>
        </w:trPr>
        <w:tc>
          <w:tcPr>
            <w:cnfStyle w:val="001000000000" w:firstRow="0" w:lastRow="0" w:firstColumn="1" w:lastColumn="0" w:oddVBand="0" w:evenVBand="0" w:oddHBand="0" w:evenHBand="0" w:firstRowFirstColumn="0" w:firstRowLastColumn="0" w:lastRowFirstColumn="0" w:lastRowLastColumn="0"/>
            <w:tcW w:w="1640" w:type="dxa"/>
            <w:tcBorders>
              <w:top w:val="single" w:sz="4" w:space="0" w:color="7F7F7F" w:themeColor="text1" w:themeTint="80"/>
              <w:bottom w:val="single" w:sz="4" w:space="0" w:color="7F7F7F" w:themeColor="text1" w:themeTint="80"/>
              <w:right w:val="single" w:sz="4" w:space="0" w:color="auto"/>
            </w:tcBorders>
            <w:hideMark/>
          </w:tcPr>
          <w:p w14:paraId="3F7F7A43" w14:textId="77777777" w:rsidR="007F1D7E" w:rsidRPr="007F1D7E" w:rsidRDefault="007F1D7E" w:rsidP="007F1D7E">
            <w:pPr>
              <w:contextualSpacing/>
              <w:rPr>
                <w:rFonts w:ascii="Tahoma" w:hAnsi="Tahoma" w:cs="Tahoma"/>
                <w:b w:val="0"/>
                <w:bCs w:val="0"/>
                <w:color w:val="000000" w:themeColor="text1"/>
                <w:sz w:val="22"/>
                <w:szCs w:val="22"/>
              </w:rPr>
            </w:pPr>
            <w:r w:rsidRPr="007F1D7E">
              <w:rPr>
                <w:rFonts w:ascii="Tahoma" w:hAnsi="Tahoma" w:cs="Tahoma"/>
                <w:b w:val="0"/>
                <w:bCs w:val="0"/>
                <w:color w:val="000000" w:themeColor="text1"/>
                <w:sz w:val="22"/>
                <w:szCs w:val="22"/>
              </w:rPr>
              <w:t>Hifz al-</w:t>
            </w:r>
            <w:proofErr w:type="spellStart"/>
            <w:r w:rsidRPr="007F1D7E">
              <w:rPr>
                <w:rFonts w:ascii="Tahoma" w:hAnsi="Tahoma" w:cs="Tahoma"/>
                <w:b w:val="0"/>
                <w:bCs w:val="0"/>
                <w:color w:val="000000" w:themeColor="text1"/>
                <w:sz w:val="22"/>
                <w:szCs w:val="22"/>
              </w:rPr>
              <w:t>Nafs</w:t>
            </w:r>
            <w:proofErr w:type="spellEnd"/>
            <w:r w:rsidRPr="007F1D7E">
              <w:rPr>
                <w:rFonts w:ascii="Tahoma" w:hAnsi="Tahoma" w:cs="Tahoma"/>
                <w:b w:val="0"/>
                <w:bCs w:val="0"/>
                <w:color w:val="000000" w:themeColor="text1"/>
                <w:sz w:val="22"/>
                <w:szCs w:val="22"/>
              </w:rPr>
              <w:t xml:space="preserve"> (Protection of Life)</w:t>
            </w:r>
          </w:p>
        </w:tc>
        <w:tc>
          <w:tcPr>
            <w:tcW w:w="0" w:type="auto"/>
            <w:tcBorders>
              <w:top w:val="single" w:sz="4" w:space="0" w:color="7F7F7F" w:themeColor="text1" w:themeTint="80"/>
              <w:left w:val="single" w:sz="4" w:space="0" w:color="auto"/>
              <w:bottom w:val="single" w:sz="4" w:space="0" w:color="7F7F7F" w:themeColor="text1" w:themeTint="80"/>
              <w:right w:val="single" w:sz="4" w:space="0" w:color="auto"/>
            </w:tcBorders>
            <w:hideMark/>
          </w:tcPr>
          <w:p w14:paraId="18822852" w14:textId="77777777" w:rsidR="007F1D7E" w:rsidRPr="007F1D7E" w:rsidRDefault="007F1D7E" w:rsidP="007F1D7E">
            <w:pPr>
              <w:pStyle w:val="NormalWeb"/>
              <w:spacing w:before="0" w:beforeAutospacing="0" w:after="0" w:afterAutospacing="0"/>
              <w:contextualSpacing/>
              <w:cnfStyle w:val="000000000000" w:firstRow="0" w:lastRow="0" w:firstColumn="0" w:lastColumn="0" w:oddVBand="0" w:evenVBand="0" w:oddHBand="0" w:evenHBand="0" w:firstRowFirstColumn="0" w:firstRowLastColumn="0" w:lastRowFirstColumn="0" w:lastRowLastColumn="0"/>
              <w:rPr>
                <w:rFonts w:ascii="Tahoma" w:hAnsi="Tahoma" w:cs="Tahoma"/>
                <w:bCs/>
                <w:color w:val="000000" w:themeColor="text1"/>
                <w:sz w:val="22"/>
                <w:szCs w:val="22"/>
              </w:rPr>
            </w:pPr>
            <w:r w:rsidRPr="007F1D7E">
              <w:rPr>
                <w:rFonts w:ascii="Tahoma" w:hAnsi="Tahoma" w:cs="Tahoma"/>
                <w:bCs/>
                <w:color w:val="000000" w:themeColor="text1"/>
                <w:sz w:val="22"/>
                <w:szCs w:val="22"/>
              </w:rPr>
              <w:t>SDGs 2: Zero Hunger</w:t>
            </w:r>
          </w:p>
          <w:p w14:paraId="54518C4F" w14:textId="23BCC4CE" w:rsidR="007F1D7E" w:rsidRPr="007F1D7E" w:rsidRDefault="007F1D7E" w:rsidP="007F1D7E">
            <w:pPr>
              <w:contextualSpacing/>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22"/>
                <w:szCs w:val="22"/>
              </w:rPr>
            </w:pPr>
            <w:r w:rsidRPr="007F1D7E">
              <w:rPr>
                <w:rFonts w:ascii="Tahoma" w:hAnsi="Tahoma" w:cs="Tahoma"/>
                <w:bCs/>
                <w:color w:val="000000" w:themeColor="text1"/>
                <w:sz w:val="22"/>
                <w:szCs w:val="22"/>
              </w:rPr>
              <w:t xml:space="preserve">SDGs 3: Good Health &amp; </w:t>
            </w:r>
            <w:r w:rsidR="004F002D">
              <w:rPr>
                <w:rFonts w:ascii="Tahoma" w:hAnsi="Tahoma" w:cs="Tahoma"/>
                <w:bCs/>
                <w:color w:val="000000" w:themeColor="text1"/>
                <w:sz w:val="22"/>
                <w:szCs w:val="22"/>
              </w:rPr>
              <w:t>Well-being</w:t>
            </w:r>
          </w:p>
        </w:tc>
        <w:tc>
          <w:tcPr>
            <w:tcW w:w="0" w:type="auto"/>
            <w:tcBorders>
              <w:top w:val="single" w:sz="4" w:space="0" w:color="7F7F7F" w:themeColor="text1" w:themeTint="80"/>
              <w:left w:val="single" w:sz="4" w:space="0" w:color="auto"/>
              <w:bottom w:val="single" w:sz="4" w:space="0" w:color="7F7F7F" w:themeColor="text1" w:themeTint="80"/>
              <w:right w:val="single" w:sz="4" w:space="0" w:color="auto"/>
            </w:tcBorders>
            <w:hideMark/>
          </w:tcPr>
          <w:p w14:paraId="57808738" w14:textId="77777777" w:rsidR="007F1D7E" w:rsidRPr="007F1D7E" w:rsidRDefault="007F1D7E" w:rsidP="007F1D7E">
            <w:pPr>
              <w:contextualSpacing/>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22"/>
                <w:szCs w:val="22"/>
              </w:rPr>
            </w:pPr>
            <w:r w:rsidRPr="007F1D7E">
              <w:rPr>
                <w:rFonts w:ascii="Tahoma" w:hAnsi="Tahoma" w:cs="Tahoma"/>
                <w:color w:val="000000" w:themeColor="text1"/>
                <w:sz w:val="22"/>
                <w:szCs w:val="22"/>
              </w:rPr>
              <w:t>Financing for public health facilities, clean sanitation, and local food security in the Special Region of Yogyakarta (DIY).</w:t>
            </w:r>
          </w:p>
        </w:tc>
        <w:tc>
          <w:tcPr>
            <w:tcW w:w="0" w:type="auto"/>
            <w:tcBorders>
              <w:left w:val="single" w:sz="4" w:space="0" w:color="auto"/>
            </w:tcBorders>
            <w:hideMark/>
          </w:tcPr>
          <w:p w14:paraId="78D044FC" w14:textId="76B6501A" w:rsidR="007F1D7E" w:rsidRPr="007F1D7E" w:rsidRDefault="007F1D7E" w:rsidP="007F1D7E">
            <w:pPr>
              <w:contextualSpacing/>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22"/>
                <w:szCs w:val="22"/>
              </w:rPr>
            </w:pPr>
            <w:r w:rsidRPr="007F1D7E">
              <w:rPr>
                <w:rFonts w:ascii="Tahoma" w:hAnsi="Tahoma" w:cs="Tahoma"/>
                <w:color w:val="000000" w:themeColor="text1"/>
                <w:sz w:val="22"/>
                <w:szCs w:val="22"/>
              </w:rPr>
              <w:t>Integration of Islamic social funds (</w:t>
            </w:r>
            <w:proofErr w:type="spellStart"/>
            <w:r w:rsidRPr="007F1D7E">
              <w:rPr>
                <w:rFonts w:ascii="Tahoma" w:hAnsi="Tahoma" w:cs="Tahoma"/>
                <w:color w:val="000000" w:themeColor="text1"/>
                <w:sz w:val="22"/>
                <w:szCs w:val="22"/>
              </w:rPr>
              <w:t>Ziswaf</w:t>
            </w:r>
            <w:proofErr w:type="spellEnd"/>
            <w:r w:rsidRPr="007F1D7E">
              <w:rPr>
                <w:rFonts w:ascii="Tahoma" w:hAnsi="Tahoma" w:cs="Tahoma"/>
                <w:color w:val="000000" w:themeColor="text1"/>
                <w:sz w:val="22"/>
                <w:szCs w:val="22"/>
              </w:rPr>
              <w:t xml:space="preserve">) for stunting prevention programs and healthcare coverage for </w:t>
            </w:r>
            <w:r w:rsidR="004F002D">
              <w:rPr>
                <w:rFonts w:ascii="Tahoma" w:hAnsi="Tahoma" w:cs="Tahoma"/>
                <w:color w:val="000000" w:themeColor="text1"/>
                <w:sz w:val="22"/>
                <w:szCs w:val="22"/>
              </w:rPr>
              <w:t>people with low incomes</w:t>
            </w:r>
            <w:r w:rsidRPr="007F1D7E">
              <w:rPr>
                <w:rFonts w:ascii="Tahoma" w:hAnsi="Tahoma" w:cs="Tahoma"/>
                <w:color w:val="000000" w:themeColor="text1"/>
                <w:sz w:val="22"/>
                <w:szCs w:val="22"/>
              </w:rPr>
              <w:t>.</w:t>
            </w:r>
          </w:p>
        </w:tc>
      </w:tr>
      <w:tr w:rsidR="007F1D7E" w:rsidRPr="007F1D7E" w14:paraId="4DC303EC" w14:textId="77777777" w:rsidTr="00D94769">
        <w:trPr>
          <w:cnfStyle w:val="000000100000" w:firstRow="0" w:lastRow="0" w:firstColumn="0" w:lastColumn="0" w:oddVBand="0" w:evenVBand="0" w:oddHBand="1" w:evenHBand="0" w:firstRowFirstColumn="0" w:firstRowLastColumn="0" w:lastRowFirstColumn="0" w:lastRowLastColumn="0"/>
          <w:trHeight w:val="2062"/>
        </w:trPr>
        <w:tc>
          <w:tcPr>
            <w:cnfStyle w:val="001000000000" w:firstRow="0" w:lastRow="0" w:firstColumn="1" w:lastColumn="0" w:oddVBand="0" w:evenVBand="0" w:oddHBand="0" w:evenHBand="0" w:firstRowFirstColumn="0" w:firstRowLastColumn="0" w:lastRowFirstColumn="0" w:lastRowLastColumn="0"/>
            <w:tcW w:w="1640" w:type="dxa"/>
            <w:tcBorders>
              <w:right w:val="single" w:sz="4" w:space="0" w:color="auto"/>
            </w:tcBorders>
            <w:hideMark/>
          </w:tcPr>
          <w:p w14:paraId="5D0F8C0C" w14:textId="77777777" w:rsidR="007F1D7E" w:rsidRPr="007F1D7E" w:rsidRDefault="007F1D7E" w:rsidP="007F1D7E">
            <w:pPr>
              <w:contextualSpacing/>
              <w:rPr>
                <w:rFonts w:ascii="Tahoma" w:hAnsi="Tahoma" w:cs="Tahoma"/>
                <w:b w:val="0"/>
                <w:bCs w:val="0"/>
                <w:color w:val="000000" w:themeColor="text1"/>
                <w:sz w:val="22"/>
                <w:szCs w:val="22"/>
              </w:rPr>
            </w:pPr>
            <w:r w:rsidRPr="007F1D7E">
              <w:rPr>
                <w:rFonts w:ascii="Tahoma" w:hAnsi="Tahoma" w:cs="Tahoma"/>
                <w:b w:val="0"/>
                <w:bCs w:val="0"/>
                <w:color w:val="000000" w:themeColor="text1"/>
                <w:sz w:val="22"/>
                <w:szCs w:val="22"/>
              </w:rPr>
              <w:t>Hifz al-</w:t>
            </w:r>
            <w:proofErr w:type="spellStart"/>
            <w:r w:rsidRPr="007F1D7E">
              <w:rPr>
                <w:rFonts w:ascii="Tahoma" w:hAnsi="Tahoma" w:cs="Tahoma"/>
                <w:b w:val="0"/>
                <w:bCs w:val="0"/>
                <w:color w:val="000000" w:themeColor="text1"/>
                <w:sz w:val="22"/>
                <w:szCs w:val="22"/>
              </w:rPr>
              <w:t>Aql</w:t>
            </w:r>
            <w:proofErr w:type="spellEnd"/>
            <w:r w:rsidRPr="007F1D7E">
              <w:rPr>
                <w:rFonts w:ascii="Tahoma" w:hAnsi="Tahoma" w:cs="Tahoma"/>
                <w:b w:val="0"/>
                <w:bCs w:val="0"/>
                <w:color w:val="000000" w:themeColor="text1"/>
                <w:sz w:val="22"/>
                <w:szCs w:val="22"/>
              </w:rPr>
              <w:t xml:space="preserve"> (Preservation of the Intellect)</w:t>
            </w:r>
          </w:p>
        </w:tc>
        <w:tc>
          <w:tcPr>
            <w:tcW w:w="0" w:type="auto"/>
            <w:tcBorders>
              <w:left w:val="single" w:sz="4" w:space="0" w:color="auto"/>
              <w:right w:val="single" w:sz="4" w:space="0" w:color="auto"/>
            </w:tcBorders>
            <w:hideMark/>
          </w:tcPr>
          <w:p w14:paraId="387C95E8" w14:textId="77777777" w:rsidR="007F1D7E" w:rsidRPr="007F1D7E" w:rsidRDefault="007F1D7E" w:rsidP="007F1D7E">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sidRPr="007F1D7E">
              <w:rPr>
                <w:rFonts w:ascii="Tahoma" w:hAnsi="Tahoma" w:cs="Tahoma"/>
                <w:bCs/>
                <w:color w:val="000000" w:themeColor="text1"/>
                <w:sz w:val="22"/>
                <w:szCs w:val="22"/>
              </w:rPr>
              <w:t>SDGs 4: Quality Education (Complementary Addition)</w:t>
            </w:r>
          </w:p>
        </w:tc>
        <w:tc>
          <w:tcPr>
            <w:tcW w:w="0" w:type="auto"/>
            <w:tcBorders>
              <w:left w:val="single" w:sz="4" w:space="0" w:color="auto"/>
              <w:right w:val="single" w:sz="4" w:space="0" w:color="auto"/>
            </w:tcBorders>
            <w:hideMark/>
          </w:tcPr>
          <w:p w14:paraId="1E8FAE30" w14:textId="77777777" w:rsidR="007F1D7E" w:rsidRPr="007F1D7E" w:rsidRDefault="007F1D7E" w:rsidP="007F1D7E">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sidRPr="007F1D7E">
              <w:rPr>
                <w:rFonts w:ascii="Tahoma" w:hAnsi="Tahoma" w:cs="Tahoma"/>
                <w:color w:val="000000" w:themeColor="text1"/>
                <w:sz w:val="22"/>
                <w:szCs w:val="22"/>
              </w:rPr>
              <w:t xml:space="preserve">Financing for private education or </w:t>
            </w:r>
            <w:proofErr w:type="spellStart"/>
            <w:r w:rsidRPr="007F1D7E">
              <w:rPr>
                <w:rFonts w:ascii="Tahoma" w:hAnsi="Tahoma" w:cs="Tahoma"/>
                <w:color w:val="000000" w:themeColor="text1"/>
                <w:sz w:val="22"/>
                <w:szCs w:val="22"/>
              </w:rPr>
              <w:t>pesantren</w:t>
            </w:r>
            <w:proofErr w:type="spellEnd"/>
            <w:r w:rsidRPr="007F1D7E">
              <w:rPr>
                <w:rFonts w:ascii="Tahoma" w:hAnsi="Tahoma" w:cs="Tahoma"/>
                <w:color w:val="000000" w:themeColor="text1"/>
                <w:sz w:val="22"/>
                <w:szCs w:val="22"/>
              </w:rPr>
              <w:t xml:space="preserve"> (Islamic boarding school) infrastructure, as well as scholarships funded by the institution's benevolent fund.</w:t>
            </w:r>
          </w:p>
        </w:tc>
        <w:tc>
          <w:tcPr>
            <w:tcW w:w="0" w:type="auto"/>
            <w:tcBorders>
              <w:left w:val="single" w:sz="4" w:space="0" w:color="auto"/>
            </w:tcBorders>
            <w:hideMark/>
          </w:tcPr>
          <w:p w14:paraId="091A372A" w14:textId="77777777" w:rsidR="007F1D7E" w:rsidRPr="007F1D7E" w:rsidRDefault="007F1D7E" w:rsidP="007F1D7E">
            <w:pPr>
              <w:pStyle w:val="NormalWeb"/>
              <w:spacing w:before="0" w:beforeAutospacing="0" w:after="0" w:afterAutospacing="0"/>
              <w:contextualSpacing/>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sidRPr="007F1D7E">
              <w:rPr>
                <w:rFonts w:ascii="Tahoma" w:hAnsi="Tahoma" w:cs="Tahoma"/>
                <w:color w:val="000000" w:themeColor="text1"/>
                <w:sz w:val="22"/>
                <w:szCs w:val="22"/>
              </w:rPr>
              <w:t>Raising awareness of digital-based Sharia financial literacy among the public in the Special Region of Yogyakarta (DIY).</w:t>
            </w:r>
          </w:p>
        </w:tc>
      </w:tr>
      <w:tr w:rsidR="007F1D7E" w:rsidRPr="007F1D7E" w14:paraId="7A5EC353" w14:textId="77777777" w:rsidTr="00D94769">
        <w:trPr>
          <w:trHeight w:val="1286"/>
        </w:trPr>
        <w:tc>
          <w:tcPr>
            <w:cnfStyle w:val="001000000000" w:firstRow="0" w:lastRow="0" w:firstColumn="1" w:lastColumn="0" w:oddVBand="0" w:evenVBand="0" w:oddHBand="0" w:evenHBand="0" w:firstRowFirstColumn="0" w:firstRowLastColumn="0" w:lastRowFirstColumn="0" w:lastRowLastColumn="0"/>
            <w:tcW w:w="1640" w:type="dxa"/>
            <w:tcBorders>
              <w:top w:val="single" w:sz="4" w:space="0" w:color="7F7F7F" w:themeColor="text1" w:themeTint="80"/>
              <w:bottom w:val="single" w:sz="4" w:space="0" w:color="7F7F7F" w:themeColor="text1" w:themeTint="80"/>
              <w:right w:val="single" w:sz="4" w:space="0" w:color="auto"/>
            </w:tcBorders>
            <w:hideMark/>
          </w:tcPr>
          <w:p w14:paraId="4D7A6161" w14:textId="77777777" w:rsidR="007F1D7E" w:rsidRPr="007F1D7E" w:rsidRDefault="007F1D7E" w:rsidP="007F1D7E">
            <w:pPr>
              <w:contextualSpacing/>
              <w:rPr>
                <w:rFonts w:ascii="Tahoma" w:hAnsi="Tahoma" w:cs="Tahoma"/>
                <w:b w:val="0"/>
                <w:bCs w:val="0"/>
                <w:color w:val="000000" w:themeColor="text1"/>
                <w:sz w:val="22"/>
                <w:szCs w:val="22"/>
              </w:rPr>
            </w:pPr>
            <w:r w:rsidRPr="007F1D7E">
              <w:rPr>
                <w:rFonts w:ascii="Tahoma" w:hAnsi="Tahoma" w:cs="Tahoma"/>
                <w:b w:val="0"/>
                <w:bCs w:val="0"/>
                <w:color w:val="000000" w:themeColor="text1"/>
                <w:sz w:val="22"/>
                <w:szCs w:val="22"/>
              </w:rPr>
              <w:lastRenderedPageBreak/>
              <w:t>Hifz al-</w:t>
            </w:r>
            <w:proofErr w:type="spellStart"/>
            <w:r w:rsidRPr="007F1D7E">
              <w:rPr>
                <w:rFonts w:ascii="Tahoma" w:hAnsi="Tahoma" w:cs="Tahoma"/>
                <w:b w:val="0"/>
                <w:bCs w:val="0"/>
                <w:color w:val="000000" w:themeColor="text1"/>
                <w:sz w:val="22"/>
                <w:szCs w:val="22"/>
              </w:rPr>
              <w:t>Nasl</w:t>
            </w:r>
            <w:proofErr w:type="spellEnd"/>
            <w:r w:rsidRPr="007F1D7E">
              <w:rPr>
                <w:rFonts w:ascii="Tahoma" w:hAnsi="Tahoma" w:cs="Tahoma"/>
                <w:b w:val="0"/>
                <w:bCs w:val="0"/>
                <w:color w:val="000000" w:themeColor="text1"/>
                <w:sz w:val="22"/>
                <w:szCs w:val="22"/>
              </w:rPr>
              <w:t xml:space="preserve"> (Protection of Offspring)</w:t>
            </w:r>
          </w:p>
        </w:tc>
        <w:tc>
          <w:tcPr>
            <w:tcW w:w="0" w:type="auto"/>
            <w:tcBorders>
              <w:top w:val="single" w:sz="4" w:space="0" w:color="7F7F7F" w:themeColor="text1" w:themeTint="80"/>
              <w:left w:val="single" w:sz="4" w:space="0" w:color="auto"/>
              <w:bottom w:val="single" w:sz="4" w:space="0" w:color="7F7F7F" w:themeColor="text1" w:themeTint="80"/>
              <w:right w:val="single" w:sz="4" w:space="0" w:color="auto"/>
            </w:tcBorders>
            <w:hideMark/>
          </w:tcPr>
          <w:p w14:paraId="6AF6AE9C" w14:textId="77777777" w:rsidR="007F1D7E" w:rsidRPr="007F1D7E" w:rsidRDefault="007F1D7E" w:rsidP="007F1D7E">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22"/>
                <w:szCs w:val="22"/>
              </w:rPr>
            </w:pPr>
            <w:r w:rsidRPr="007F1D7E">
              <w:rPr>
                <w:rFonts w:ascii="Tahoma" w:hAnsi="Tahoma" w:cs="Tahoma"/>
                <w:bCs/>
                <w:color w:val="000000" w:themeColor="text1"/>
                <w:sz w:val="22"/>
                <w:szCs w:val="22"/>
              </w:rPr>
              <w:t>SDGs 13, 14, 15: Climate and Environmental Action (Sustainability Aspects)</w:t>
            </w:r>
          </w:p>
        </w:tc>
        <w:tc>
          <w:tcPr>
            <w:tcW w:w="0" w:type="auto"/>
            <w:tcBorders>
              <w:top w:val="single" w:sz="4" w:space="0" w:color="7F7F7F" w:themeColor="text1" w:themeTint="80"/>
              <w:left w:val="single" w:sz="4" w:space="0" w:color="auto"/>
              <w:bottom w:val="single" w:sz="4" w:space="0" w:color="7F7F7F" w:themeColor="text1" w:themeTint="80"/>
              <w:right w:val="single" w:sz="4" w:space="0" w:color="auto"/>
            </w:tcBorders>
            <w:hideMark/>
          </w:tcPr>
          <w:p w14:paraId="149597DA" w14:textId="77777777" w:rsidR="007F1D7E" w:rsidRPr="007F1D7E" w:rsidRDefault="007F1D7E" w:rsidP="007F1D7E">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22"/>
                <w:szCs w:val="22"/>
              </w:rPr>
            </w:pPr>
            <w:r w:rsidRPr="007F1D7E">
              <w:rPr>
                <w:rFonts w:ascii="Tahoma" w:hAnsi="Tahoma" w:cs="Tahoma"/>
                <w:color w:val="000000" w:themeColor="text1"/>
                <w:sz w:val="22"/>
                <w:szCs w:val="22"/>
              </w:rPr>
              <w:t>Implementation of green financing and restrictions on financing for environmentally damaging industries.</w:t>
            </w:r>
          </w:p>
        </w:tc>
        <w:tc>
          <w:tcPr>
            <w:tcW w:w="0" w:type="auto"/>
            <w:tcBorders>
              <w:left w:val="single" w:sz="4" w:space="0" w:color="auto"/>
            </w:tcBorders>
            <w:hideMark/>
          </w:tcPr>
          <w:p w14:paraId="49EF3F5E" w14:textId="77777777" w:rsidR="007F1D7E" w:rsidRPr="007F1D7E" w:rsidRDefault="007F1D7E" w:rsidP="007F1D7E">
            <w:pPr>
              <w:pStyle w:val="NormalWeb"/>
              <w:spacing w:before="0" w:beforeAutospacing="0" w:after="0" w:afterAutospacing="0"/>
              <w:contextualSpacing/>
              <w:cnfStyle w:val="000000000000" w:firstRow="0" w:lastRow="0" w:firstColumn="0" w:lastColumn="0" w:oddVBand="0" w:evenVBand="0" w:oddHBand="0" w:evenHBand="0" w:firstRowFirstColumn="0" w:firstRowLastColumn="0" w:lastRowFirstColumn="0" w:lastRowLastColumn="0"/>
              <w:rPr>
                <w:rFonts w:ascii="Tahoma" w:hAnsi="Tahoma" w:cs="Tahoma"/>
                <w:color w:val="000000" w:themeColor="text1"/>
                <w:sz w:val="22"/>
                <w:szCs w:val="22"/>
              </w:rPr>
            </w:pPr>
            <w:r w:rsidRPr="007F1D7E">
              <w:rPr>
                <w:rFonts w:ascii="Tahoma" w:hAnsi="Tahoma" w:cs="Tahoma"/>
                <w:color w:val="000000" w:themeColor="text1"/>
                <w:sz w:val="22"/>
                <w:szCs w:val="22"/>
              </w:rPr>
              <w:t>Preparation of social and environmental impact assessment instruments prior to approval of productive financing.</w:t>
            </w:r>
          </w:p>
        </w:tc>
      </w:tr>
      <w:tr w:rsidR="007F1D7E" w:rsidRPr="007F1D7E" w14:paraId="6EA42A0A" w14:textId="77777777" w:rsidTr="00D94769">
        <w:trPr>
          <w:cnfStyle w:val="000000100000" w:firstRow="0" w:lastRow="0" w:firstColumn="0" w:lastColumn="0" w:oddVBand="0" w:evenVBand="0" w:oddHBand="1" w:evenHBand="0" w:firstRowFirstColumn="0" w:firstRowLastColumn="0" w:lastRowFirstColumn="0" w:lastRowLastColumn="0"/>
          <w:trHeight w:val="1463"/>
        </w:trPr>
        <w:tc>
          <w:tcPr>
            <w:cnfStyle w:val="001000000000" w:firstRow="0" w:lastRow="0" w:firstColumn="1" w:lastColumn="0" w:oddVBand="0" w:evenVBand="0" w:oddHBand="0" w:evenHBand="0" w:firstRowFirstColumn="0" w:firstRowLastColumn="0" w:lastRowFirstColumn="0" w:lastRowLastColumn="0"/>
            <w:tcW w:w="1640" w:type="dxa"/>
            <w:tcBorders>
              <w:right w:val="single" w:sz="4" w:space="0" w:color="auto"/>
            </w:tcBorders>
            <w:hideMark/>
          </w:tcPr>
          <w:p w14:paraId="2078409D" w14:textId="77777777" w:rsidR="007F1D7E" w:rsidRPr="007F1D7E" w:rsidRDefault="007F1D7E" w:rsidP="007F1D7E">
            <w:pPr>
              <w:contextualSpacing/>
              <w:rPr>
                <w:rFonts w:ascii="Tahoma" w:hAnsi="Tahoma" w:cs="Tahoma"/>
                <w:b w:val="0"/>
                <w:bCs w:val="0"/>
                <w:color w:val="000000" w:themeColor="text1"/>
                <w:sz w:val="22"/>
                <w:szCs w:val="22"/>
              </w:rPr>
            </w:pPr>
            <w:r w:rsidRPr="007F1D7E">
              <w:rPr>
                <w:rFonts w:ascii="Tahoma" w:hAnsi="Tahoma" w:cs="Tahoma"/>
                <w:b w:val="0"/>
                <w:bCs w:val="0"/>
                <w:color w:val="000000" w:themeColor="text1"/>
                <w:sz w:val="22"/>
                <w:szCs w:val="22"/>
              </w:rPr>
              <w:t>Hifz al-Mal (Protection of Property)</w:t>
            </w:r>
          </w:p>
        </w:tc>
        <w:tc>
          <w:tcPr>
            <w:tcW w:w="0" w:type="auto"/>
            <w:tcBorders>
              <w:left w:val="single" w:sz="4" w:space="0" w:color="auto"/>
              <w:right w:val="single" w:sz="4" w:space="0" w:color="auto"/>
            </w:tcBorders>
            <w:hideMark/>
          </w:tcPr>
          <w:p w14:paraId="40538B72" w14:textId="77777777" w:rsidR="007F1D7E" w:rsidRPr="007F1D7E" w:rsidRDefault="007F1D7E" w:rsidP="007F1D7E">
            <w:pPr>
              <w:pStyle w:val="NormalWeb"/>
              <w:spacing w:before="0" w:beforeAutospacing="0" w:after="0" w:afterAutospacing="0"/>
              <w:contextualSpacing/>
              <w:cnfStyle w:val="000000100000" w:firstRow="0" w:lastRow="0" w:firstColumn="0" w:lastColumn="0" w:oddVBand="0" w:evenVBand="0" w:oddHBand="1" w:evenHBand="0" w:firstRowFirstColumn="0" w:firstRowLastColumn="0" w:lastRowFirstColumn="0" w:lastRowLastColumn="0"/>
              <w:rPr>
                <w:rFonts w:ascii="Tahoma" w:hAnsi="Tahoma" w:cs="Tahoma"/>
                <w:bCs/>
                <w:color w:val="000000" w:themeColor="text1"/>
                <w:sz w:val="22"/>
                <w:szCs w:val="22"/>
              </w:rPr>
            </w:pPr>
            <w:r w:rsidRPr="007F1D7E">
              <w:rPr>
                <w:rFonts w:ascii="Tahoma" w:hAnsi="Tahoma" w:cs="Tahoma"/>
                <w:bCs/>
                <w:color w:val="000000" w:themeColor="text1"/>
                <w:sz w:val="22"/>
                <w:szCs w:val="22"/>
              </w:rPr>
              <w:t>SDG 1: No Poverty</w:t>
            </w:r>
          </w:p>
          <w:p w14:paraId="60196808" w14:textId="77777777" w:rsidR="007F1D7E" w:rsidRPr="007F1D7E" w:rsidRDefault="007F1D7E" w:rsidP="007F1D7E">
            <w:pPr>
              <w:contextualSpacing/>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sidRPr="007F1D7E">
              <w:rPr>
                <w:rFonts w:ascii="Tahoma" w:hAnsi="Tahoma" w:cs="Tahoma"/>
                <w:bCs/>
                <w:color w:val="000000" w:themeColor="text1"/>
                <w:sz w:val="22"/>
                <w:szCs w:val="22"/>
              </w:rPr>
              <w:t>SDG 8: Decent Work and Economic Growth</w:t>
            </w:r>
          </w:p>
        </w:tc>
        <w:tc>
          <w:tcPr>
            <w:tcW w:w="0" w:type="auto"/>
            <w:tcBorders>
              <w:left w:val="single" w:sz="4" w:space="0" w:color="auto"/>
              <w:right w:val="single" w:sz="4" w:space="0" w:color="auto"/>
            </w:tcBorders>
            <w:hideMark/>
          </w:tcPr>
          <w:p w14:paraId="49B8F005" w14:textId="77777777" w:rsidR="007F1D7E" w:rsidRPr="007F1D7E" w:rsidRDefault="007F1D7E" w:rsidP="007F1D7E">
            <w:pPr>
              <w:contextualSpacing/>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sidRPr="007F1D7E">
              <w:rPr>
                <w:rFonts w:ascii="Tahoma" w:hAnsi="Tahoma" w:cs="Tahoma"/>
                <w:color w:val="000000" w:themeColor="text1"/>
                <w:sz w:val="22"/>
                <w:szCs w:val="22"/>
              </w:rPr>
              <w:t>Provision of working capital financing for micro and small enterprises, enhancement of financial inclusion, and job creation.</w:t>
            </w:r>
          </w:p>
        </w:tc>
        <w:tc>
          <w:tcPr>
            <w:tcW w:w="0" w:type="auto"/>
            <w:tcBorders>
              <w:left w:val="single" w:sz="4" w:space="0" w:color="auto"/>
            </w:tcBorders>
            <w:hideMark/>
          </w:tcPr>
          <w:p w14:paraId="56DCC5FC" w14:textId="77777777" w:rsidR="007F1D7E" w:rsidRPr="007F1D7E" w:rsidRDefault="007F1D7E" w:rsidP="007F1D7E">
            <w:pPr>
              <w:pStyle w:val="NormalWeb"/>
              <w:spacing w:before="0" w:beforeAutospacing="0" w:after="0" w:afterAutospacing="0"/>
              <w:contextualSpacing/>
              <w:cnfStyle w:val="000000100000" w:firstRow="0" w:lastRow="0" w:firstColumn="0" w:lastColumn="0" w:oddVBand="0" w:evenVBand="0" w:oddHBand="1" w:evenHBand="0" w:firstRowFirstColumn="0" w:firstRowLastColumn="0" w:lastRowFirstColumn="0" w:lastRowLastColumn="0"/>
              <w:rPr>
                <w:rFonts w:ascii="Tahoma" w:hAnsi="Tahoma" w:cs="Tahoma"/>
                <w:color w:val="000000" w:themeColor="text1"/>
                <w:sz w:val="22"/>
                <w:szCs w:val="22"/>
              </w:rPr>
            </w:pPr>
            <w:r w:rsidRPr="007F1D7E">
              <w:rPr>
                <w:rFonts w:ascii="Tahoma" w:hAnsi="Tahoma" w:cs="Tahoma"/>
                <w:color w:val="000000" w:themeColor="text1"/>
                <w:sz w:val="22"/>
                <w:szCs w:val="22"/>
              </w:rPr>
              <w:t>Strengthening multi-stakeholder synergy (OJK, local governments, and academia) to expand market access for local products from Micro, Small, and Medium Enterprises (MSMEs).</w:t>
            </w:r>
          </w:p>
        </w:tc>
      </w:tr>
    </w:tbl>
    <w:p w14:paraId="5302FC03" w14:textId="7B1E15BE" w:rsidR="00484B8B" w:rsidRPr="00D94769" w:rsidRDefault="00D94769" w:rsidP="00D94769">
      <w:pPr>
        <w:pStyle w:val="SubTopicSubJudul"/>
        <w:spacing w:before="0"/>
        <w:rPr>
          <w:rFonts w:ascii="Tahoma" w:hAnsi="Tahoma" w:cs="Tahoma"/>
          <w:b w:val="0"/>
          <w:bCs w:val="0"/>
        </w:rPr>
      </w:pPr>
      <w:r w:rsidRPr="005D7FE9">
        <w:rPr>
          <w:rFonts w:ascii="Tahoma" w:hAnsi="Tahoma" w:cs="Tahoma"/>
          <w:b w:val="0"/>
          <w:bCs w:val="0"/>
        </w:rPr>
        <w:t>Sources: Researcher (202</w:t>
      </w:r>
      <w:r>
        <w:rPr>
          <w:rFonts w:ascii="Tahoma" w:hAnsi="Tahoma" w:cs="Tahoma"/>
          <w:b w:val="0"/>
          <w:bCs w:val="0"/>
        </w:rPr>
        <w:t>6</w:t>
      </w:r>
      <w:r w:rsidRPr="005D7FE9">
        <w:rPr>
          <w:rFonts w:ascii="Tahoma" w:hAnsi="Tahoma" w:cs="Tahoma"/>
          <w:b w:val="0"/>
          <w:bCs w:val="0"/>
        </w:rPr>
        <w:t>)</w:t>
      </w:r>
      <w:bookmarkEnd w:id="10"/>
    </w:p>
    <w:p w14:paraId="4407C9B5" w14:textId="5365B3CA" w:rsidR="004E0BA7" w:rsidRPr="005D7FE9" w:rsidRDefault="004E0BA7" w:rsidP="004E0BA7">
      <w:pPr>
        <w:pStyle w:val="SubTopicSubJudul"/>
        <w:rPr>
          <w:rFonts w:ascii="Tahoma" w:hAnsi="Tahoma" w:cs="Tahoma"/>
        </w:rPr>
      </w:pPr>
      <w:r w:rsidRPr="005D7FE9">
        <w:rPr>
          <w:rFonts w:ascii="Tahoma" w:hAnsi="Tahoma" w:cs="Tahoma"/>
        </w:rPr>
        <w:t>Conclusion</w:t>
      </w:r>
    </w:p>
    <w:p w14:paraId="7AD20F90" w14:textId="7D3E2E6C" w:rsidR="00C4305B" w:rsidRPr="00C4305B" w:rsidRDefault="00C4305B" w:rsidP="000F14E4">
      <w:pPr>
        <w:pStyle w:val="SubTopicSubJudul"/>
        <w:spacing w:before="0"/>
        <w:ind w:firstLine="567"/>
        <w:rPr>
          <w:rFonts w:ascii="Tahoma" w:hAnsi="Tahoma" w:cs="Tahoma"/>
          <w:b w:val="0"/>
          <w:bCs w:val="0"/>
          <w:lang w:bidi="bn-IN"/>
        </w:rPr>
      </w:pPr>
      <w:r w:rsidRPr="00C4305B">
        <w:rPr>
          <w:rFonts w:ascii="Tahoma" w:hAnsi="Tahoma" w:cs="Tahoma"/>
          <w:b w:val="0"/>
          <w:bCs w:val="0"/>
        </w:rPr>
        <w:t xml:space="preserve">In conclusion, this study demonstrates that Islamic banking in the Special Region of Yogyakarta (DIY) occupies a highly strategic position in accelerating the United Nations Sustainable Development Goals (SDGs) by structurally integrating its commercial financial intermediation, social, and developmental functionalities under the normative guidance of </w:t>
      </w:r>
      <w:proofErr w:type="spellStart"/>
      <w:r w:rsidRPr="00C4305B">
        <w:rPr>
          <w:rFonts w:ascii="Tahoma" w:hAnsi="Tahoma" w:cs="Tahoma"/>
          <w:b w:val="0"/>
          <w:bCs w:val="0"/>
          <w:i/>
          <w:iCs/>
        </w:rPr>
        <w:t>maqashid</w:t>
      </w:r>
      <w:proofErr w:type="spellEnd"/>
      <w:r w:rsidRPr="00C4305B">
        <w:rPr>
          <w:rFonts w:ascii="Tahoma" w:hAnsi="Tahoma" w:cs="Tahoma"/>
          <w:b w:val="0"/>
          <w:bCs w:val="0"/>
          <w:i/>
          <w:iCs/>
        </w:rPr>
        <w:t xml:space="preserve"> al-</w:t>
      </w:r>
      <w:proofErr w:type="spellStart"/>
      <w:r w:rsidRPr="00C4305B">
        <w:rPr>
          <w:rFonts w:ascii="Tahoma" w:hAnsi="Tahoma" w:cs="Tahoma"/>
          <w:b w:val="0"/>
          <w:bCs w:val="0"/>
          <w:i/>
          <w:iCs/>
        </w:rPr>
        <w:t>shari'ah</w:t>
      </w:r>
      <w:proofErr w:type="spellEnd"/>
      <w:r w:rsidRPr="00C4305B">
        <w:rPr>
          <w:rFonts w:ascii="Tahoma" w:hAnsi="Tahoma" w:cs="Tahoma"/>
          <w:b w:val="0"/>
          <w:bCs w:val="0"/>
        </w:rPr>
        <w:t xml:space="preserve">. This institutional contribution is explicitly materialized not only through the expansion of </w:t>
      </w:r>
      <w:r w:rsidR="004F002D">
        <w:rPr>
          <w:rFonts w:ascii="Tahoma" w:hAnsi="Tahoma" w:cs="Tahoma"/>
          <w:b w:val="0"/>
          <w:bCs w:val="0"/>
        </w:rPr>
        <w:t>productive-sector financing and MSME empowerment, but also through systematic societal welfare enhancement through</w:t>
      </w:r>
      <w:r w:rsidRPr="00C4305B">
        <w:rPr>
          <w:rFonts w:ascii="Tahoma" w:hAnsi="Tahoma" w:cs="Tahoma"/>
          <w:b w:val="0"/>
          <w:bCs w:val="0"/>
        </w:rPr>
        <w:t xml:space="preserve"> diverse socio-philanthropic programs and inclusive financial initiatives. Nevertheless, the optimal efficacy of these developmental outputs remains stymied by critical structural bottlenecks. These challenges include the </w:t>
      </w:r>
      <w:r w:rsidR="004F002D">
        <w:rPr>
          <w:rFonts w:ascii="Tahoma" w:hAnsi="Tahoma" w:cs="Tahoma"/>
          <w:b w:val="0"/>
          <w:bCs w:val="0"/>
        </w:rPr>
        <w:t>lack of integration</w:t>
      </w:r>
      <w:r w:rsidRPr="00C4305B">
        <w:rPr>
          <w:rFonts w:ascii="Tahoma" w:hAnsi="Tahoma" w:cs="Tahoma"/>
          <w:b w:val="0"/>
          <w:bCs w:val="0"/>
        </w:rPr>
        <w:t xml:space="preserve"> of standardized SDG parameters into internal corporate bank performance metrics, the underdevelopment of robust social impact assessment methodologies, and sub-optimal stakeholder synergy within the broader regional Sharia financial ecosystem.</w:t>
      </w:r>
    </w:p>
    <w:p w14:paraId="67AC0231" w14:textId="0CD59733" w:rsidR="00C4305B" w:rsidRPr="00C4305B" w:rsidRDefault="00C4305B" w:rsidP="000F14E4">
      <w:pPr>
        <w:pStyle w:val="NormalWeb"/>
        <w:spacing w:before="0" w:beforeAutospacing="0" w:after="0" w:afterAutospacing="0" w:line="276" w:lineRule="auto"/>
        <w:ind w:firstLine="567"/>
        <w:contextualSpacing/>
        <w:jc w:val="both"/>
        <w:rPr>
          <w:rFonts w:ascii="Tahoma" w:hAnsi="Tahoma" w:cs="Tahoma"/>
          <w:sz w:val="22"/>
          <w:szCs w:val="22"/>
        </w:rPr>
      </w:pPr>
      <w:r w:rsidRPr="00C4305B">
        <w:rPr>
          <w:rFonts w:ascii="Tahoma" w:hAnsi="Tahoma" w:cs="Tahoma"/>
          <w:sz w:val="22"/>
          <w:szCs w:val="22"/>
        </w:rPr>
        <w:t xml:space="preserve">The defining novelty of this study lies in the construction of a comprehensive </w:t>
      </w:r>
      <w:proofErr w:type="spellStart"/>
      <w:r w:rsidRPr="00C4305B">
        <w:rPr>
          <w:rFonts w:ascii="Tahoma" w:hAnsi="Tahoma" w:cs="Tahoma"/>
          <w:i/>
          <w:iCs/>
          <w:sz w:val="22"/>
          <w:szCs w:val="22"/>
        </w:rPr>
        <w:t>maqashid</w:t>
      </w:r>
      <w:proofErr w:type="spellEnd"/>
      <w:r w:rsidRPr="00C4305B">
        <w:rPr>
          <w:rFonts w:ascii="Tahoma" w:hAnsi="Tahoma" w:cs="Tahoma"/>
          <w:sz w:val="22"/>
          <w:szCs w:val="22"/>
        </w:rPr>
        <w:t xml:space="preserve">-based strategic framework that dynamically integrates institutional roles, operational efficacy, systemic challenges, and structural reinforcement within Islamic banking to advance sustainable development. By offering a highly operational and applicable methodology for micro-institutional execution, this inquiry significantly expands the extant literature, which has historically examined the UN SDGs and Sharia objectives as parallel, disconnected paradigms. Theoretically, this research </w:t>
      </w:r>
      <w:r w:rsidR="004F002D">
        <w:rPr>
          <w:rFonts w:ascii="Tahoma" w:hAnsi="Tahoma" w:cs="Tahoma"/>
          <w:sz w:val="22"/>
          <w:szCs w:val="22"/>
        </w:rPr>
        <w:t xml:space="preserve">supports the academic thesis that </w:t>
      </w:r>
      <w:proofErr w:type="spellStart"/>
      <w:r w:rsidR="004F002D">
        <w:rPr>
          <w:rFonts w:ascii="Tahoma" w:hAnsi="Tahoma" w:cs="Tahoma"/>
          <w:sz w:val="22"/>
          <w:szCs w:val="22"/>
        </w:rPr>
        <w:t>maqashid</w:t>
      </w:r>
      <w:proofErr w:type="spellEnd"/>
      <w:r w:rsidR="004F002D">
        <w:rPr>
          <w:rFonts w:ascii="Tahoma" w:hAnsi="Tahoma" w:cs="Tahoma"/>
          <w:sz w:val="22"/>
          <w:szCs w:val="22"/>
        </w:rPr>
        <w:t xml:space="preserve"> al-</w:t>
      </w:r>
      <w:proofErr w:type="spellStart"/>
      <w:r w:rsidR="004F002D">
        <w:rPr>
          <w:rFonts w:ascii="Tahoma" w:hAnsi="Tahoma" w:cs="Tahoma"/>
          <w:sz w:val="22"/>
          <w:szCs w:val="22"/>
        </w:rPr>
        <w:t>shari'ah</w:t>
      </w:r>
      <w:proofErr w:type="spellEnd"/>
      <w:r w:rsidR="004F002D">
        <w:rPr>
          <w:rFonts w:ascii="Tahoma" w:hAnsi="Tahoma" w:cs="Tahoma"/>
          <w:sz w:val="22"/>
          <w:szCs w:val="22"/>
        </w:rPr>
        <w:t xml:space="preserve"> functions simultaneously as a transcendent normative anchor and an empirical evaluative tool for quantifying</w:t>
      </w:r>
      <w:r w:rsidRPr="00C4305B">
        <w:rPr>
          <w:rFonts w:ascii="Tahoma" w:hAnsi="Tahoma" w:cs="Tahoma"/>
          <w:sz w:val="22"/>
          <w:szCs w:val="22"/>
        </w:rPr>
        <w:t xml:space="preserve"> the sustainability contributions of the Sharia financial sector. Practically, these insights provide an </w:t>
      </w:r>
      <w:r w:rsidRPr="00C4305B">
        <w:rPr>
          <w:rFonts w:ascii="Tahoma" w:hAnsi="Tahoma" w:cs="Tahoma"/>
          <w:sz w:val="22"/>
          <w:szCs w:val="22"/>
        </w:rPr>
        <w:lastRenderedPageBreak/>
        <w:t>empirical foundation for regulators, financial intermediaries, and municipal governments to engineer deeply integrated policies that seamlessly converge global sustainability mandates with Islamic legal objectives.</w:t>
      </w:r>
    </w:p>
    <w:p w14:paraId="25D1C07C" w14:textId="7C17954C" w:rsidR="00C4305B" w:rsidRPr="00C4305B" w:rsidRDefault="00C4305B" w:rsidP="00AE1E2E">
      <w:pPr>
        <w:pStyle w:val="NormalWeb"/>
        <w:spacing w:before="0" w:beforeAutospacing="0" w:after="0" w:afterAutospacing="0" w:line="276" w:lineRule="auto"/>
        <w:ind w:firstLine="567"/>
        <w:contextualSpacing/>
        <w:jc w:val="both"/>
        <w:rPr>
          <w:rFonts w:ascii="Tahoma" w:hAnsi="Tahoma" w:cs="Tahoma"/>
          <w:sz w:val="22"/>
          <w:szCs w:val="22"/>
        </w:rPr>
      </w:pPr>
      <w:r w:rsidRPr="00C4305B">
        <w:rPr>
          <w:rFonts w:ascii="Tahoma" w:hAnsi="Tahoma" w:cs="Tahoma"/>
          <w:sz w:val="22"/>
          <w:szCs w:val="22"/>
        </w:rPr>
        <w:t xml:space="preserve">Concomitantly, this study acknowledges several intrinsic limitations, primarily its exclusive reliance on qualitative documentary research and its tight geographical focus on the Special Region of Yogyakarta (DIY). To address these constraints, future empirical inquiries are strongly encouraged to adopt mixed-methods approaches or execute cross-regional and cross-country comparative analyses to robustly test the validity and generalizability of the proposed strategic framework. Furthermore, subsequent research should prioritize </w:t>
      </w:r>
      <w:r w:rsidR="004F002D">
        <w:rPr>
          <w:rFonts w:ascii="Tahoma" w:hAnsi="Tahoma" w:cs="Tahoma"/>
          <w:sz w:val="22"/>
          <w:szCs w:val="22"/>
        </w:rPr>
        <w:t xml:space="preserve">highly standardized evaluative indices that systematically operationalize and quantify the integration of global SDG metrics with </w:t>
      </w:r>
      <w:proofErr w:type="spellStart"/>
      <w:r w:rsidR="004F002D">
        <w:rPr>
          <w:rFonts w:ascii="Tahoma" w:hAnsi="Tahoma" w:cs="Tahoma"/>
          <w:sz w:val="22"/>
          <w:szCs w:val="22"/>
        </w:rPr>
        <w:t>maqashid</w:t>
      </w:r>
      <w:proofErr w:type="spellEnd"/>
      <w:r w:rsidR="004F002D">
        <w:rPr>
          <w:rFonts w:ascii="Tahoma" w:hAnsi="Tahoma" w:cs="Tahoma"/>
          <w:sz w:val="22"/>
          <w:szCs w:val="22"/>
        </w:rPr>
        <w:t xml:space="preserve"> al-</w:t>
      </w:r>
      <w:proofErr w:type="spellStart"/>
      <w:r w:rsidR="004F002D">
        <w:rPr>
          <w:rFonts w:ascii="Tahoma" w:hAnsi="Tahoma" w:cs="Tahoma"/>
          <w:sz w:val="22"/>
          <w:szCs w:val="22"/>
        </w:rPr>
        <w:t>shari'ah</w:t>
      </w:r>
      <w:proofErr w:type="spellEnd"/>
      <w:r w:rsidR="004F002D">
        <w:rPr>
          <w:rFonts w:ascii="Tahoma" w:hAnsi="Tahoma" w:cs="Tahoma"/>
          <w:sz w:val="22"/>
          <w:szCs w:val="22"/>
        </w:rPr>
        <w:t xml:space="preserve"> parameters</w:t>
      </w:r>
      <w:r w:rsidRPr="00C4305B">
        <w:rPr>
          <w:rFonts w:ascii="Tahoma" w:hAnsi="Tahoma" w:cs="Tahoma"/>
          <w:sz w:val="22"/>
          <w:szCs w:val="22"/>
        </w:rPr>
        <w:t>.</w:t>
      </w:r>
    </w:p>
    <w:p w14:paraId="1319B245" w14:textId="77777777" w:rsidR="00236FE1" w:rsidRPr="005D7FE9" w:rsidRDefault="00236FE1" w:rsidP="00236FE1">
      <w:pPr>
        <w:pStyle w:val="SubTopicSubJudul"/>
        <w:spacing w:before="0"/>
        <w:ind w:firstLine="567"/>
        <w:rPr>
          <w:rFonts w:ascii="Tahoma" w:hAnsi="Tahoma" w:cs="Tahoma"/>
          <w:b w:val="0"/>
          <w:bCs w:val="0"/>
          <w:lang w:bidi="bn-IN"/>
        </w:rPr>
      </w:pPr>
    </w:p>
    <w:p w14:paraId="00ACA872" w14:textId="3C3C4CA0" w:rsidR="004E0BA7" w:rsidRPr="00285869" w:rsidRDefault="004E0BA7" w:rsidP="00285869">
      <w:pPr>
        <w:pStyle w:val="SubTopicSubJudul"/>
        <w:spacing w:before="0"/>
        <w:rPr>
          <w:rFonts w:ascii="Tahoma" w:hAnsi="Tahoma" w:cs="Tahoma"/>
        </w:rPr>
      </w:pPr>
      <w:r w:rsidRPr="00285869">
        <w:rPr>
          <w:rFonts w:ascii="Tahoma" w:hAnsi="Tahoma" w:cs="Tahoma"/>
        </w:rPr>
        <w:t>References</w:t>
      </w:r>
    </w:p>
    <w:p w14:paraId="543B8BBA" w14:textId="210381D2" w:rsidR="00217D59" w:rsidRPr="00217D59" w:rsidRDefault="00285869" w:rsidP="002E707D">
      <w:pPr>
        <w:widowControl w:val="0"/>
        <w:autoSpaceDE w:val="0"/>
        <w:autoSpaceDN w:val="0"/>
        <w:adjustRightInd w:val="0"/>
        <w:ind w:left="480" w:hanging="480"/>
        <w:jc w:val="both"/>
        <w:rPr>
          <w:rFonts w:ascii="Tahoma" w:hAnsi="Tahoma" w:cs="Tahoma"/>
          <w:noProof/>
          <w:sz w:val="22"/>
        </w:rPr>
      </w:pPr>
      <w:r w:rsidRPr="00285869">
        <w:rPr>
          <w:rFonts w:ascii="Tahoma" w:hAnsi="Tahoma" w:cs="Tahoma"/>
          <w:sz w:val="22"/>
          <w:szCs w:val="22"/>
        </w:rPr>
        <w:fldChar w:fldCharType="begin" w:fldLock="1"/>
      </w:r>
      <w:r w:rsidRPr="00285869">
        <w:rPr>
          <w:rFonts w:ascii="Tahoma" w:hAnsi="Tahoma" w:cs="Tahoma"/>
          <w:sz w:val="22"/>
          <w:szCs w:val="22"/>
        </w:rPr>
        <w:instrText xml:space="preserve">ADDIN Mendeley Bibliography CSL_BIBLIOGRAPHY </w:instrText>
      </w:r>
      <w:r w:rsidRPr="00285869">
        <w:rPr>
          <w:rFonts w:ascii="Tahoma" w:hAnsi="Tahoma" w:cs="Tahoma"/>
          <w:sz w:val="22"/>
          <w:szCs w:val="22"/>
        </w:rPr>
        <w:fldChar w:fldCharType="separate"/>
      </w:r>
      <w:r w:rsidR="00217D59" w:rsidRPr="00217D59">
        <w:rPr>
          <w:rFonts w:ascii="Tahoma" w:hAnsi="Tahoma" w:cs="Tahoma"/>
          <w:noProof/>
          <w:sz w:val="22"/>
        </w:rPr>
        <w:t xml:space="preserve">Basri, R., Mamun, S. A. Al, &amp; Aktar, A. (2026). ESG Disclosure Practices and Performance of Islamic Banks : Moderating Roles of Board Independence, Gender Diversity, and Institutional Ownership. </w:t>
      </w:r>
      <w:r w:rsidR="00217D59" w:rsidRPr="00217D59">
        <w:rPr>
          <w:rFonts w:ascii="Tahoma" w:hAnsi="Tahoma" w:cs="Tahoma"/>
          <w:i/>
          <w:iCs/>
          <w:noProof/>
          <w:sz w:val="22"/>
        </w:rPr>
        <w:t>Preprints</w:t>
      </w:r>
      <w:r w:rsidR="00217D59" w:rsidRPr="00217D59">
        <w:rPr>
          <w:rFonts w:ascii="Tahoma" w:hAnsi="Tahoma" w:cs="Tahoma"/>
          <w:noProof/>
          <w:sz w:val="22"/>
        </w:rPr>
        <w:t>. https://doi.org/10.20944/preprints202602.1632.v1</w:t>
      </w:r>
    </w:p>
    <w:p w14:paraId="0B6C2F32" w14:textId="4F80497C" w:rsidR="00217D59" w:rsidRPr="00217D59" w:rsidRDefault="00217D59" w:rsidP="002E707D">
      <w:pPr>
        <w:widowControl w:val="0"/>
        <w:autoSpaceDE w:val="0"/>
        <w:autoSpaceDN w:val="0"/>
        <w:adjustRightInd w:val="0"/>
        <w:ind w:left="480" w:hanging="480"/>
        <w:jc w:val="both"/>
        <w:rPr>
          <w:rFonts w:ascii="Tahoma" w:hAnsi="Tahoma" w:cs="Tahoma"/>
          <w:noProof/>
          <w:sz w:val="22"/>
        </w:rPr>
      </w:pPr>
      <w:r w:rsidRPr="00217D59">
        <w:rPr>
          <w:rFonts w:ascii="Tahoma" w:hAnsi="Tahoma" w:cs="Tahoma"/>
          <w:noProof/>
          <w:sz w:val="22"/>
        </w:rPr>
        <w:t xml:space="preserve">Dusuki, A. W., &amp; Abozaid, A. (2007). A Critical Appraisal </w:t>
      </w:r>
      <w:r w:rsidR="004F002D">
        <w:rPr>
          <w:rFonts w:ascii="Tahoma" w:hAnsi="Tahoma" w:cs="Tahoma"/>
          <w:noProof/>
          <w:sz w:val="22"/>
        </w:rPr>
        <w:t>of the</w:t>
      </w:r>
      <w:r w:rsidRPr="00217D59">
        <w:rPr>
          <w:rFonts w:ascii="Tahoma" w:hAnsi="Tahoma" w:cs="Tahoma"/>
          <w:noProof/>
          <w:sz w:val="22"/>
        </w:rPr>
        <w:t xml:space="preserve"> Challenges Of Realizing. </w:t>
      </w:r>
      <w:r w:rsidRPr="00217D59">
        <w:rPr>
          <w:rFonts w:ascii="Tahoma" w:hAnsi="Tahoma" w:cs="Tahoma"/>
          <w:i/>
          <w:iCs/>
          <w:noProof/>
          <w:sz w:val="22"/>
        </w:rPr>
        <w:t xml:space="preserve">IIUM Journal of Economics and </w:t>
      </w:r>
      <w:r w:rsidR="004F002D">
        <w:rPr>
          <w:rFonts w:ascii="Tahoma" w:hAnsi="Tahoma" w:cs="Tahoma"/>
          <w:i/>
          <w:iCs/>
          <w:noProof/>
          <w:sz w:val="22"/>
        </w:rPr>
        <w:t>Management</w:t>
      </w:r>
      <w:r w:rsidRPr="00217D59">
        <w:rPr>
          <w:rFonts w:ascii="Tahoma" w:hAnsi="Tahoma" w:cs="Tahoma"/>
          <w:noProof/>
          <w:sz w:val="22"/>
        </w:rPr>
        <w:t xml:space="preserve">, </w:t>
      </w:r>
      <w:r w:rsidRPr="00217D59">
        <w:rPr>
          <w:rFonts w:ascii="Tahoma" w:hAnsi="Tahoma" w:cs="Tahoma"/>
          <w:i/>
          <w:iCs/>
          <w:noProof/>
          <w:sz w:val="22"/>
        </w:rPr>
        <w:t>2</w:t>
      </w:r>
      <w:r w:rsidRPr="00217D59">
        <w:rPr>
          <w:rFonts w:ascii="Tahoma" w:hAnsi="Tahoma" w:cs="Tahoma"/>
          <w:noProof/>
          <w:sz w:val="22"/>
        </w:rPr>
        <w:t>(2), 143–165. https://scholar.google.com/citations?view_op=view_citation&amp;hl=en&amp;user=IDpm8o4AAAAJ&amp;pagesize=100&amp;citation_for_view=IDpm8o4AAAAJ:u5HHmVD_uO8C</w:t>
      </w:r>
    </w:p>
    <w:p w14:paraId="505B55B9" w14:textId="6E26466E" w:rsidR="00217D59" w:rsidRPr="00217D59" w:rsidRDefault="00217D59" w:rsidP="002E707D">
      <w:pPr>
        <w:widowControl w:val="0"/>
        <w:autoSpaceDE w:val="0"/>
        <w:autoSpaceDN w:val="0"/>
        <w:adjustRightInd w:val="0"/>
        <w:ind w:left="480" w:hanging="480"/>
        <w:jc w:val="both"/>
        <w:rPr>
          <w:rFonts w:ascii="Tahoma" w:hAnsi="Tahoma" w:cs="Tahoma"/>
          <w:noProof/>
          <w:sz w:val="22"/>
        </w:rPr>
      </w:pPr>
      <w:r w:rsidRPr="004F002D">
        <w:rPr>
          <w:rFonts w:ascii="Tahoma" w:hAnsi="Tahoma" w:cs="Tahoma"/>
          <w:noProof/>
          <w:sz w:val="22"/>
          <w:lang w:val="fi-FI"/>
        </w:rPr>
        <w:t xml:space="preserve">Fauzan, </w:t>
      </w:r>
      <w:r w:rsidR="004F002D">
        <w:rPr>
          <w:rFonts w:ascii="Tahoma" w:hAnsi="Tahoma" w:cs="Tahoma"/>
          <w:noProof/>
          <w:sz w:val="22"/>
          <w:lang w:val="fi-FI"/>
        </w:rPr>
        <w:t>E.</w:t>
      </w:r>
      <w:r w:rsidRPr="004F002D">
        <w:rPr>
          <w:rFonts w:ascii="Tahoma" w:hAnsi="Tahoma" w:cs="Tahoma"/>
          <w:noProof/>
          <w:sz w:val="22"/>
          <w:lang w:val="fi-FI"/>
        </w:rPr>
        <w:t xml:space="preserve">, Salsabila, B., &amp; Alifa, N. L. (2025). Advokasi dan Kolaborasi Akademik dalam Penguatan Kelembagaan Ekonomi Syariah : Sinergi Ilmu , Etika dan Kebijakan. </w:t>
      </w:r>
      <w:r w:rsidRPr="00217D59">
        <w:rPr>
          <w:rFonts w:ascii="Tahoma" w:hAnsi="Tahoma" w:cs="Tahoma"/>
          <w:i/>
          <w:iCs/>
          <w:noProof/>
          <w:sz w:val="22"/>
        </w:rPr>
        <w:t>Jurnal Ekonomi Islam</w:t>
      </w:r>
      <w:r w:rsidRPr="00217D59">
        <w:rPr>
          <w:rFonts w:ascii="Tahoma" w:hAnsi="Tahoma" w:cs="Tahoma"/>
          <w:noProof/>
          <w:sz w:val="22"/>
        </w:rPr>
        <w:t xml:space="preserve">, </w:t>
      </w:r>
      <w:r w:rsidRPr="00217D59">
        <w:rPr>
          <w:rFonts w:ascii="Tahoma" w:hAnsi="Tahoma" w:cs="Tahoma"/>
          <w:i/>
          <w:iCs/>
          <w:noProof/>
          <w:sz w:val="22"/>
        </w:rPr>
        <w:t>3</w:t>
      </w:r>
      <w:r w:rsidRPr="00217D59">
        <w:rPr>
          <w:rFonts w:ascii="Tahoma" w:hAnsi="Tahoma" w:cs="Tahoma"/>
          <w:noProof/>
          <w:sz w:val="22"/>
        </w:rPr>
        <w:t>(2), 87–104. https://doi.org/10.56184/jeijournal.v3i2.533</w:t>
      </w:r>
    </w:p>
    <w:p w14:paraId="5AF47BC3" w14:textId="77777777" w:rsidR="00217D59" w:rsidRPr="00217D59" w:rsidRDefault="00217D59" w:rsidP="002E707D">
      <w:pPr>
        <w:widowControl w:val="0"/>
        <w:autoSpaceDE w:val="0"/>
        <w:autoSpaceDN w:val="0"/>
        <w:adjustRightInd w:val="0"/>
        <w:ind w:left="480" w:hanging="480"/>
        <w:jc w:val="both"/>
        <w:rPr>
          <w:rFonts w:ascii="Tahoma" w:hAnsi="Tahoma" w:cs="Tahoma"/>
          <w:noProof/>
          <w:sz w:val="22"/>
        </w:rPr>
      </w:pPr>
      <w:r w:rsidRPr="00217D59">
        <w:rPr>
          <w:rFonts w:ascii="Tahoma" w:hAnsi="Tahoma" w:cs="Tahoma"/>
          <w:noProof/>
          <w:sz w:val="22"/>
        </w:rPr>
        <w:t xml:space="preserve">Hikmah, L., Hafizhah, N. Z., &amp; Rusgianto, S. (2025). Islamic Banking and Economic Growth : A Case Study in Indonesia. </w:t>
      </w:r>
      <w:r w:rsidRPr="00217D59">
        <w:rPr>
          <w:rFonts w:ascii="Tahoma" w:hAnsi="Tahoma" w:cs="Tahoma"/>
          <w:i/>
          <w:iCs/>
          <w:noProof/>
          <w:sz w:val="22"/>
        </w:rPr>
        <w:t>Jurnal MEDIASAS: Media Ilmu Syari’ah Dan Ahwal Al-Syakhsiyyah</w:t>
      </w:r>
      <w:r w:rsidRPr="00217D59">
        <w:rPr>
          <w:rFonts w:ascii="Tahoma" w:hAnsi="Tahoma" w:cs="Tahoma"/>
          <w:noProof/>
          <w:sz w:val="22"/>
        </w:rPr>
        <w:t xml:space="preserve">, </w:t>
      </w:r>
      <w:r w:rsidRPr="00217D59">
        <w:rPr>
          <w:rFonts w:ascii="Tahoma" w:hAnsi="Tahoma" w:cs="Tahoma"/>
          <w:i/>
          <w:iCs/>
          <w:noProof/>
          <w:sz w:val="22"/>
        </w:rPr>
        <w:t>8</w:t>
      </w:r>
      <w:r w:rsidRPr="00217D59">
        <w:rPr>
          <w:rFonts w:ascii="Tahoma" w:hAnsi="Tahoma" w:cs="Tahoma"/>
          <w:noProof/>
          <w:sz w:val="22"/>
        </w:rPr>
        <w:t>(1), 111–123. https://doi.org/10.58824/mediasas.v8i1.307</w:t>
      </w:r>
    </w:p>
    <w:p w14:paraId="703CD4B5" w14:textId="77777777" w:rsidR="00217D59" w:rsidRPr="00217D59" w:rsidRDefault="00217D59" w:rsidP="002E707D">
      <w:pPr>
        <w:widowControl w:val="0"/>
        <w:autoSpaceDE w:val="0"/>
        <w:autoSpaceDN w:val="0"/>
        <w:adjustRightInd w:val="0"/>
        <w:ind w:left="480" w:hanging="480"/>
        <w:jc w:val="both"/>
        <w:rPr>
          <w:rFonts w:ascii="Tahoma" w:hAnsi="Tahoma" w:cs="Tahoma"/>
          <w:noProof/>
          <w:sz w:val="22"/>
        </w:rPr>
      </w:pPr>
      <w:r w:rsidRPr="00217D59">
        <w:rPr>
          <w:rFonts w:ascii="Tahoma" w:hAnsi="Tahoma" w:cs="Tahoma"/>
          <w:noProof/>
          <w:sz w:val="22"/>
        </w:rPr>
        <w:t xml:space="preserve">Kurniawan, M. R., &amp; Nasution, M. I. P. (2025). Tata Kelola Data Dalam Manajemen Syariah : Tantangan Dan Dampak Terhadap Efisiensi Operasional. </w:t>
      </w:r>
      <w:r w:rsidRPr="00217D59">
        <w:rPr>
          <w:rFonts w:ascii="Tahoma" w:hAnsi="Tahoma" w:cs="Tahoma"/>
          <w:i/>
          <w:iCs/>
          <w:noProof/>
          <w:sz w:val="22"/>
        </w:rPr>
        <w:t>Journal Sains Student Research</w:t>
      </w:r>
      <w:r w:rsidRPr="00217D59">
        <w:rPr>
          <w:rFonts w:ascii="Tahoma" w:hAnsi="Tahoma" w:cs="Tahoma"/>
          <w:noProof/>
          <w:sz w:val="22"/>
        </w:rPr>
        <w:t xml:space="preserve">, </w:t>
      </w:r>
      <w:r w:rsidRPr="00217D59">
        <w:rPr>
          <w:rFonts w:ascii="Tahoma" w:hAnsi="Tahoma" w:cs="Tahoma"/>
          <w:i/>
          <w:iCs/>
          <w:noProof/>
          <w:sz w:val="22"/>
        </w:rPr>
        <w:t>3</w:t>
      </w:r>
      <w:r w:rsidRPr="00217D59">
        <w:rPr>
          <w:rFonts w:ascii="Tahoma" w:hAnsi="Tahoma" w:cs="Tahoma"/>
          <w:noProof/>
          <w:sz w:val="22"/>
        </w:rPr>
        <w:t>(4), 700–705. https://doi.org/10.61722/jssr.v3i4.5436</w:t>
      </w:r>
    </w:p>
    <w:p w14:paraId="68B92108" w14:textId="77777777" w:rsidR="00217D59" w:rsidRPr="00217D59" w:rsidRDefault="00217D59" w:rsidP="002E707D">
      <w:pPr>
        <w:widowControl w:val="0"/>
        <w:autoSpaceDE w:val="0"/>
        <w:autoSpaceDN w:val="0"/>
        <w:adjustRightInd w:val="0"/>
        <w:ind w:left="480" w:hanging="480"/>
        <w:jc w:val="both"/>
        <w:rPr>
          <w:rFonts w:ascii="Tahoma" w:hAnsi="Tahoma" w:cs="Tahoma"/>
          <w:noProof/>
          <w:sz w:val="22"/>
        </w:rPr>
      </w:pPr>
      <w:r w:rsidRPr="004F002D">
        <w:rPr>
          <w:rFonts w:ascii="Tahoma" w:hAnsi="Tahoma" w:cs="Tahoma"/>
          <w:noProof/>
          <w:sz w:val="22"/>
          <w:lang w:val="fi-FI"/>
        </w:rPr>
        <w:t xml:space="preserve">Marzadi, H., &amp; Katazon, Y. T. (2025). </w:t>
      </w:r>
      <w:r w:rsidRPr="00217D59">
        <w:rPr>
          <w:rFonts w:ascii="Tahoma" w:hAnsi="Tahoma" w:cs="Tahoma"/>
          <w:noProof/>
          <w:sz w:val="22"/>
        </w:rPr>
        <w:t xml:space="preserve">Studi Literatur: Penerapan Prinsip Syariah Dalam Investasi ESG. </w:t>
      </w:r>
      <w:r w:rsidRPr="00217D59">
        <w:rPr>
          <w:rFonts w:ascii="Tahoma" w:hAnsi="Tahoma" w:cs="Tahoma"/>
          <w:i/>
          <w:iCs/>
          <w:noProof/>
          <w:sz w:val="22"/>
        </w:rPr>
        <w:t>Journal of Islamic Economics and Finance</w:t>
      </w:r>
      <w:r w:rsidRPr="00217D59">
        <w:rPr>
          <w:rFonts w:ascii="Tahoma" w:hAnsi="Tahoma" w:cs="Tahoma"/>
          <w:noProof/>
          <w:sz w:val="22"/>
        </w:rPr>
        <w:t xml:space="preserve">, </w:t>
      </w:r>
      <w:r w:rsidRPr="00217D59">
        <w:rPr>
          <w:rFonts w:ascii="Tahoma" w:hAnsi="Tahoma" w:cs="Tahoma"/>
          <w:i/>
          <w:iCs/>
          <w:noProof/>
          <w:sz w:val="22"/>
        </w:rPr>
        <w:t>2</w:t>
      </w:r>
      <w:r w:rsidRPr="00217D59">
        <w:rPr>
          <w:rFonts w:ascii="Tahoma" w:hAnsi="Tahoma" w:cs="Tahoma"/>
          <w:noProof/>
          <w:sz w:val="22"/>
        </w:rPr>
        <w:t>(2), 343–356. https://doi.org/10.70248/joieaf.v2i2.2740</w:t>
      </w:r>
    </w:p>
    <w:p w14:paraId="213524B9" w14:textId="77777777" w:rsidR="00217D59" w:rsidRPr="00217D59" w:rsidRDefault="00217D59" w:rsidP="002E707D">
      <w:pPr>
        <w:widowControl w:val="0"/>
        <w:autoSpaceDE w:val="0"/>
        <w:autoSpaceDN w:val="0"/>
        <w:adjustRightInd w:val="0"/>
        <w:ind w:left="480" w:hanging="480"/>
        <w:jc w:val="both"/>
        <w:rPr>
          <w:rFonts w:ascii="Tahoma" w:hAnsi="Tahoma" w:cs="Tahoma"/>
          <w:noProof/>
          <w:sz w:val="22"/>
        </w:rPr>
      </w:pPr>
      <w:r w:rsidRPr="00217D59">
        <w:rPr>
          <w:rFonts w:ascii="Tahoma" w:hAnsi="Tahoma" w:cs="Tahoma"/>
          <w:noProof/>
          <w:sz w:val="22"/>
        </w:rPr>
        <w:t xml:space="preserve">Mohieldin, H. A. M., &amp; Aboulmagd, J. V. F. (2015). On the Sustainable Development Goals and the Role of Islamic Finance. In </w:t>
      </w:r>
      <w:r w:rsidRPr="00217D59">
        <w:rPr>
          <w:rFonts w:ascii="Tahoma" w:hAnsi="Tahoma" w:cs="Tahoma"/>
          <w:i/>
          <w:iCs/>
          <w:noProof/>
          <w:sz w:val="22"/>
        </w:rPr>
        <w:t>World Bank Policy Research Working Paper No. 7266</w:t>
      </w:r>
      <w:r w:rsidRPr="00217D59">
        <w:rPr>
          <w:rFonts w:ascii="Tahoma" w:hAnsi="Tahoma" w:cs="Tahoma"/>
          <w:noProof/>
          <w:sz w:val="22"/>
        </w:rPr>
        <w:t>. https://doi.org/10.1596/1813-9450-7266</w:t>
      </w:r>
    </w:p>
    <w:p w14:paraId="0ECE8781" w14:textId="77777777" w:rsidR="00217D59" w:rsidRPr="00217D59" w:rsidRDefault="00217D59" w:rsidP="002E707D">
      <w:pPr>
        <w:widowControl w:val="0"/>
        <w:autoSpaceDE w:val="0"/>
        <w:autoSpaceDN w:val="0"/>
        <w:adjustRightInd w:val="0"/>
        <w:ind w:left="480" w:hanging="480"/>
        <w:jc w:val="both"/>
        <w:rPr>
          <w:rFonts w:ascii="Tahoma" w:hAnsi="Tahoma" w:cs="Tahoma"/>
          <w:noProof/>
          <w:sz w:val="22"/>
        </w:rPr>
      </w:pPr>
      <w:r w:rsidRPr="00217D59">
        <w:rPr>
          <w:rFonts w:ascii="Tahoma" w:hAnsi="Tahoma" w:cs="Tahoma"/>
          <w:noProof/>
          <w:sz w:val="22"/>
        </w:rPr>
        <w:t xml:space="preserve">Muhmad, S. N., Muhamad, R., &amp; Sulong, F. (2021). Sustainable Development Goals and Islamic Finance : An Integrated Approach for Islamic Financial Institutions. </w:t>
      </w:r>
      <w:r w:rsidRPr="00217D59">
        <w:rPr>
          <w:rFonts w:ascii="Tahoma" w:hAnsi="Tahoma" w:cs="Tahoma"/>
          <w:i/>
          <w:iCs/>
          <w:noProof/>
          <w:sz w:val="22"/>
        </w:rPr>
        <w:t>Indonesian Journal of Sustainability Accounting and Management,</w:t>
      </w:r>
      <w:r w:rsidRPr="00217D59">
        <w:rPr>
          <w:rFonts w:ascii="Tahoma" w:hAnsi="Tahoma" w:cs="Tahoma"/>
          <w:noProof/>
          <w:sz w:val="22"/>
        </w:rPr>
        <w:t xml:space="preserve"> </w:t>
      </w:r>
      <w:r w:rsidRPr="00217D59">
        <w:rPr>
          <w:rFonts w:ascii="Tahoma" w:hAnsi="Tahoma" w:cs="Tahoma"/>
          <w:i/>
          <w:iCs/>
          <w:noProof/>
          <w:sz w:val="22"/>
        </w:rPr>
        <w:t>5</w:t>
      </w:r>
      <w:r w:rsidRPr="00217D59">
        <w:rPr>
          <w:rFonts w:ascii="Tahoma" w:hAnsi="Tahoma" w:cs="Tahoma"/>
          <w:noProof/>
          <w:sz w:val="22"/>
        </w:rPr>
        <w:t>(1), 123–136. https://doi.org/10.28992/ijsam.v5i1.286</w:t>
      </w:r>
    </w:p>
    <w:p w14:paraId="24311F7B" w14:textId="77777777" w:rsidR="00217D59" w:rsidRPr="00217D59" w:rsidRDefault="00217D59" w:rsidP="002E707D">
      <w:pPr>
        <w:widowControl w:val="0"/>
        <w:autoSpaceDE w:val="0"/>
        <w:autoSpaceDN w:val="0"/>
        <w:adjustRightInd w:val="0"/>
        <w:ind w:left="480" w:hanging="480"/>
        <w:jc w:val="both"/>
        <w:rPr>
          <w:rFonts w:ascii="Tahoma" w:hAnsi="Tahoma" w:cs="Tahoma"/>
          <w:noProof/>
          <w:sz w:val="22"/>
        </w:rPr>
      </w:pPr>
      <w:r w:rsidRPr="004F002D">
        <w:rPr>
          <w:rFonts w:ascii="Tahoma" w:hAnsi="Tahoma" w:cs="Tahoma"/>
          <w:noProof/>
          <w:sz w:val="22"/>
          <w:lang w:val="fi-FI"/>
        </w:rPr>
        <w:t xml:space="preserve">Nilna, N. F., Rahmawati, A., Putri, D. I., Rahmadhani, V. B., &amp; Hidayati, A. N. (2025). </w:t>
      </w:r>
      <w:r w:rsidRPr="00217D59">
        <w:rPr>
          <w:rFonts w:ascii="Tahoma" w:hAnsi="Tahoma" w:cs="Tahoma"/>
          <w:noProof/>
          <w:sz w:val="22"/>
        </w:rPr>
        <w:t xml:space="preserve">Implementasi Green Banking pada Bank Umum Syariah di Indonesia: Tantangan dan Strategi. </w:t>
      </w:r>
      <w:r w:rsidRPr="00217D59">
        <w:rPr>
          <w:rFonts w:ascii="Tahoma" w:hAnsi="Tahoma" w:cs="Tahoma"/>
          <w:i/>
          <w:iCs/>
          <w:noProof/>
          <w:sz w:val="22"/>
        </w:rPr>
        <w:t>Jurnal Media Akademik</w:t>
      </w:r>
      <w:r w:rsidRPr="00217D59">
        <w:rPr>
          <w:rFonts w:ascii="Tahoma" w:hAnsi="Tahoma" w:cs="Tahoma"/>
          <w:noProof/>
          <w:sz w:val="22"/>
        </w:rPr>
        <w:t xml:space="preserve">, </w:t>
      </w:r>
      <w:r w:rsidRPr="00217D59">
        <w:rPr>
          <w:rFonts w:ascii="Tahoma" w:hAnsi="Tahoma" w:cs="Tahoma"/>
          <w:i/>
          <w:iCs/>
          <w:noProof/>
          <w:sz w:val="22"/>
        </w:rPr>
        <w:t>3</w:t>
      </w:r>
      <w:r w:rsidRPr="00217D59">
        <w:rPr>
          <w:rFonts w:ascii="Tahoma" w:hAnsi="Tahoma" w:cs="Tahoma"/>
          <w:noProof/>
          <w:sz w:val="22"/>
        </w:rPr>
        <w:t>(12). https://jurnal.mediaakademik.com/index.php/jma/article/view/3808</w:t>
      </w:r>
    </w:p>
    <w:p w14:paraId="0B916D54" w14:textId="30546A75" w:rsidR="00217D59" w:rsidRPr="004F002D" w:rsidRDefault="00217D59" w:rsidP="002E707D">
      <w:pPr>
        <w:widowControl w:val="0"/>
        <w:autoSpaceDE w:val="0"/>
        <w:autoSpaceDN w:val="0"/>
        <w:adjustRightInd w:val="0"/>
        <w:ind w:left="480" w:hanging="480"/>
        <w:jc w:val="both"/>
        <w:rPr>
          <w:rFonts w:ascii="Tahoma" w:hAnsi="Tahoma" w:cs="Tahoma"/>
          <w:noProof/>
          <w:sz w:val="22"/>
          <w:lang w:val="fi-FI"/>
        </w:rPr>
      </w:pPr>
      <w:r w:rsidRPr="004F002D">
        <w:rPr>
          <w:rFonts w:ascii="Tahoma" w:hAnsi="Tahoma" w:cs="Tahoma"/>
          <w:noProof/>
          <w:sz w:val="22"/>
          <w:lang w:val="fi-FI"/>
        </w:rPr>
        <w:t xml:space="preserve">Nisa, A., Al’haq, A. R., Mardliyyah, U. N., Ni’amillah, </w:t>
      </w:r>
      <w:r w:rsidR="004F002D">
        <w:rPr>
          <w:rFonts w:ascii="Tahoma" w:hAnsi="Tahoma" w:cs="Tahoma"/>
          <w:noProof/>
          <w:sz w:val="22"/>
          <w:lang w:val="fi-FI"/>
        </w:rPr>
        <w:t>S.</w:t>
      </w:r>
      <w:r w:rsidRPr="004F002D">
        <w:rPr>
          <w:rFonts w:ascii="Tahoma" w:hAnsi="Tahoma" w:cs="Tahoma"/>
          <w:noProof/>
          <w:sz w:val="22"/>
          <w:lang w:val="fi-FI"/>
        </w:rPr>
        <w:t xml:space="preserve">, M. R., </w:t>
      </w:r>
      <w:r w:rsidR="004F002D">
        <w:rPr>
          <w:rFonts w:ascii="Tahoma" w:hAnsi="Tahoma" w:cs="Tahoma"/>
          <w:noProof/>
          <w:sz w:val="22"/>
          <w:lang w:val="fi-FI"/>
        </w:rPr>
        <w:t>Y.</w:t>
      </w:r>
      <w:r w:rsidRPr="004F002D">
        <w:rPr>
          <w:rFonts w:ascii="Tahoma" w:hAnsi="Tahoma" w:cs="Tahoma"/>
          <w:noProof/>
          <w:sz w:val="22"/>
          <w:lang w:val="fi-FI"/>
        </w:rPr>
        <w:t xml:space="preserve">, N., &amp; Huda, N. (2026). Analisis Kinerja Keuangan Melalui Pendekatan Rasio Solvabilitas: Studi Kasus pada KB Bank Syariah Periode 2022–2024. </w:t>
      </w:r>
      <w:r w:rsidRPr="004F002D">
        <w:rPr>
          <w:rFonts w:ascii="Tahoma" w:hAnsi="Tahoma" w:cs="Tahoma"/>
          <w:i/>
          <w:iCs/>
          <w:noProof/>
          <w:sz w:val="22"/>
          <w:lang w:val="fi-FI"/>
        </w:rPr>
        <w:t>Jurnal Ekonomi Manajemen Dan Bisnis</w:t>
      </w:r>
      <w:r w:rsidRPr="004F002D">
        <w:rPr>
          <w:rFonts w:ascii="Tahoma" w:hAnsi="Tahoma" w:cs="Tahoma"/>
          <w:noProof/>
          <w:sz w:val="22"/>
          <w:lang w:val="fi-FI"/>
        </w:rPr>
        <w:t xml:space="preserve">, </w:t>
      </w:r>
      <w:r w:rsidRPr="004F002D">
        <w:rPr>
          <w:rFonts w:ascii="Tahoma" w:hAnsi="Tahoma" w:cs="Tahoma"/>
          <w:i/>
          <w:iCs/>
          <w:noProof/>
          <w:sz w:val="22"/>
          <w:lang w:val="fi-FI"/>
        </w:rPr>
        <w:t>3</w:t>
      </w:r>
      <w:r w:rsidRPr="004F002D">
        <w:rPr>
          <w:rFonts w:ascii="Tahoma" w:hAnsi="Tahoma" w:cs="Tahoma"/>
          <w:noProof/>
          <w:sz w:val="22"/>
          <w:lang w:val="fi-FI"/>
        </w:rPr>
        <w:t xml:space="preserve">(5), </w:t>
      </w:r>
      <w:r w:rsidRPr="004F002D">
        <w:rPr>
          <w:rFonts w:ascii="Tahoma" w:hAnsi="Tahoma" w:cs="Tahoma"/>
          <w:noProof/>
          <w:sz w:val="22"/>
          <w:lang w:val="fi-FI"/>
        </w:rPr>
        <w:lastRenderedPageBreak/>
        <w:t>161–168. https://doi.org/10.62017/jemb.v3i5.7318</w:t>
      </w:r>
    </w:p>
    <w:p w14:paraId="651BF978" w14:textId="77777777" w:rsidR="00217D59" w:rsidRPr="004F002D" w:rsidRDefault="00217D59" w:rsidP="002E707D">
      <w:pPr>
        <w:widowControl w:val="0"/>
        <w:autoSpaceDE w:val="0"/>
        <w:autoSpaceDN w:val="0"/>
        <w:adjustRightInd w:val="0"/>
        <w:ind w:left="480" w:hanging="480"/>
        <w:jc w:val="both"/>
        <w:rPr>
          <w:rFonts w:ascii="Tahoma" w:hAnsi="Tahoma" w:cs="Tahoma"/>
          <w:noProof/>
          <w:sz w:val="22"/>
          <w:lang w:val="fi-FI"/>
        </w:rPr>
      </w:pPr>
      <w:r w:rsidRPr="004F002D">
        <w:rPr>
          <w:rFonts w:ascii="Tahoma" w:hAnsi="Tahoma" w:cs="Tahoma"/>
          <w:noProof/>
          <w:sz w:val="22"/>
          <w:lang w:val="fi-FI"/>
        </w:rPr>
        <w:t xml:space="preserve">Nisa, R. S., Kurniawati, I., Ritjha, M., Pramadita, V. Y., &amp; Hidayati, A. N. (2025). Kontribusi Perbankan Syariah Terhadap Stabilitas Ekonomi dan Pencapaian Sustainable Development Goals (SDGs) Melalui Pembiayaan Syariah. </w:t>
      </w:r>
      <w:r w:rsidRPr="004F002D">
        <w:rPr>
          <w:rFonts w:ascii="Tahoma" w:hAnsi="Tahoma" w:cs="Tahoma"/>
          <w:i/>
          <w:iCs/>
          <w:noProof/>
          <w:sz w:val="22"/>
          <w:lang w:val="fi-FI"/>
        </w:rPr>
        <w:t>Jurnal Ilmiah Ekonomi Dan Manajemen</w:t>
      </w:r>
      <w:r w:rsidRPr="004F002D">
        <w:rPr>
          <w:rFonts w:ascii="Tahoma" w:hAnsi="Tahoma" w:cs="Tahoma"/>
          <w:noProof/>
          <w:sz w:val="22"/>
          <w:lang w:val="fi-FI"/>
        </w:rPr>
        <w:t xml:space="preserve">, </w:t>
      </w:r>
      <w:r w:rsidRPr="004F002D">
        <w:rPr>
          <w:rFonts w:ascii="Tahoma" w:hAnsi="Tahoma" w:cs="Tahoma"/>
          <w:i/>
          <w:iCs/>
          <w:noProof/>
          <w:sz w:val="22"/>
          <w:lang w:val="fi-FI"/>
        </w:rPr>
        <w:t>3</w:t>
      </w:r>
      <w:r w:rsidRPr="004F002D">
        <w:rPr>
          <w:rFonts w:ascii="Tahoma" w:hAnsi="Tahoma" w:cs="Tahoma"/>
          <w:noProof/>
          <w:sz w:val="22"/>
          <w:lang w:val="fi-FI"/>
        </w:rPr>
        <w:t>(12), 122–131. https://doi.org/10.61722/jiem.v3i12.7369</w:t>
      </w:r>
    </w:p>
    <w:p w14:paraId="7D3E5525" w14:textId="77777777" w:rsidR="00217D59" w:rsidRPr="00217D59" w:rsidRDefault="00217D59" w:rsidP="002E707D">
      <w:pPr>
        <w:widowControl w:val="0"/>
        <w:autoSpaceDE w:val="0"/>
        <w:autoSpaceDN w:val="0"/>
        <w:adjustRightInd w:val="0"/>
        <w:ind w:left="480" w:hanging="480"/>
        <w:jc w:val="both"/>
        <w:rPr>
          <w:rFonts w:ascii="Tahoma" w:hAnsi="Tahoma" w:cs="Tahoma"/>
          <w:noProof/>
          <w:sz w:val="22"/>
        </w:rPr>
      </w:pPr>
      <w:r w:rsidRPr="004F002D">
        <w:rPr>
          <w:rFonts w:ascii="Tahoma" w:hAnsi="Tahoma" w:cs="Tahoma"/>
          <w:noProof/>
          <w:sz w:val="22"/>
          <w:lang w:val="fi-FI"/>
        </w:rPr>
        <w:t xml:space="preserve">Nurhikmah. (2024). Maqashid Al-Shariah : Kerangka Adaptif Hukum Islam untuk Menjawab Tantangan Kontemporer. </w:t>
      </w:r>
      <w:r w:rsidRPr="00217D59">
        <w:rPr>
          <w:rFonts w:ascii="Tahoma" w:hAnsi="Tahoma" w:cs="Tahoma"/>
          <w:i/>
          <w:iCs/>
          <w:noProof/>
          <w:sz w:val="22"/>
        </w:rPr>
        <w:t>Journal of Dual Legal System</w:t>
      </w:r>
      <w:r w:rsidRPr="00217D59">
        <w:rPr>
          <w:rFonts w:ascii="Tahoma" w:hAnsi="Tahoma" w:cs="Tahoma"/>
          <w:noProof/>
          <w:sz w:val="22"/>
        </w:rPr>
        <w:t xml:space="preserve">, </w:t>
      </w:r>
      <w:r w:rsidRPr="00217D59">
        <w:rPr>
          <w:rFonts w:ascii="Tahoma" w:hAnsi="Tahoma" w:cs="Tahoma"/>
          <w:i/>
          <w:iCs/>
          <w:noProof/>
          <w:sz w:val="22"/>
        </w:rPr>
        <w:t>1</w:t>
      </w:r>
      <w:r w:rsidRPr="00217D59">
        <w:rPr>
          <w:rFonts w:ascii="Tahoma" w:hAnsi="Tahoma" w:cs="Tahoma"/>
          <w:noProof/>
          <w:sz w:val="22"/>
        </w:rPr>
        <w:t>(2), 103–117. https://doi.org/10.58824/jdls.v1i2.226</w:t>
      </w:r>
    </w:p>
    <w:p w14:paraId="5B556380" w14:textId="77777777" w:rsidR="00217D59" w:rsidRPr="00217D59" w:rsidRDefault="00217D59" w:rsidP="002E707D">
      <w:pPr>
        <w:widowControl w:val="0"/>
        <w:autoSpaceDE w:val="0"/>
        <w:autoSpaceDN w:val="0"/>
        <w:adjustRightInd w:val="0"/>
        <w:ind w:left="480" w:hanging="480"/>
        <w:jc w:val="both"/>
        <w:rPr>
          <w:rFonts w:ascii="Tahoma" w:hAnsi="Tahoma" w:cs="Tahoma"/>
          <w:noProof/>
          <w:sz w:val="22"/>
        </w:rPr>
      </w:pPr>
      <w:r w:rsidRPr="00217D59">
        <w:rPr>
          <w:rFonts w:ascii="Tahoma" w:hAnsi="Tahoma" w:cs="Tahoma"/>
          <w:noProof/>
          <w:sz w:val="22"/>
        </w:rPr>
        <w:t xml:space="preserve">Nurislaminingsih, R. (2024). </w:t>
      </w:r>
      <w:r w:rsidRPr="00217D59">
        <w:rPr>
          <w:rFonts w:ascii="Tahoma" w:hAnsi="Tahoma" w:cs="Tahoma"/>
          <w:i/>
          <w:iCs/>
          <w:noProof/>
          <w:sz w:val="22"/>
        </w:rPr>
        <w:t>Metode Penelitian Kualitatif: Teori dan Praktik</w:t>
      </w:r>
      <w:r w:rsidRPr="00217D59">
        <w:rPr>
          <w:rFonts w:ascii="Tahoma" w:hAnsi="Tahoma" w:cs="Tahoma"/>
          <w:noProof/>
          <w:sz w:val="22"/>
        </w:rPr>
        <w:t xml:space="preserve"> (1st ed.). Intishar Publishing. https://www.cvintisharpublishing.com</w:t>
      </w:r>
    </w:p>
    <w:p w14:paraId="75D71777" w14:textId="77777777" w:rsidR="00217D59" w:rsidRPr="004F002D" w:rsidRDefault="00217D59" w:rsidP="002E707D">
      <w:pPr>
        <w:widowControl w:val="0"/>
        <w:autoSpaceDE w:val="0"/>
        <w:autoSpaceDN w:val="0"/>
        <w:adjustRightInd w:val="0"/>
        <w:ind w:left="480" w:hanging="480"/>
        <w:jc w:val="both"/>
        <w:rPr>
          <w:rFonts w:ascii="Tahoma" w:hAnsi="Tahoma" w:cs="Tahoma"/>
          <w:noProof/>
          <w:sz w:val="22"/>
          <w:lang w:val="fi-FI"/>
        </w:rPr>
      </w:pPr>
      <w:r w:rsidRPr="00217D59">
        <w:rPr>
          <w:rFonts w:ascii="Tahoma" w:hAnsi="Tahoma" w:cs="Tahoma"/>
          <w:noProof/>
          <w:sz w:val="22"/>
        </w:rPr>
        <w:t xml:space="preserve">Putri, N. (2025). Evaluasi Kinerja Maqasid Syariah Terhadap Oprasional Bank Syariah di Era Digitalisasi. </w:t>
      </w:r>
      <w:r w:rsidRPr="004F002D">
        <w:rPr>
          <w:rFonts w:ascii="Tahoma" w:hAnsi="Tahoma" w:cs="Tahoma"/>
          <w:i/>
          <w:iCs/>
          <w:noProof/>
          <w:sz w:val="22"/>
          <w:lang w:val="fi-FI"/>
        </w:rPr>
        <w:t>Sipakainge: Inovasi Penelitian, Karya Ilmiah, Dan Pengembangan</w:t>
      </w:r>
      <w:r w:rsidRPr="004F002D">
        <w:rPr>
          <w:rFonts w:ascii="Tahoma" w:hAnsi="Tahoma" w:cs="Tahoma"/>
          <w:noProof/>
          <w:sz w:val="22"/>
          <w:lang w:val="fi-FI"/>
        </w:rPr>
        <w:t xml:space="preserve">, </w:t>
      </w:r>
      <w:r w:rsidRPr="004F002D">
        <w:rPr>
          <w:rFonts w:ascii="Tahoma" w:hAnsi="Tahoma" w:cs="Tahoma"/>
          <w:i/>
          <w:iCs/>
          <w:noProof/>
          <w:sz w:val="22"/>
          <w:lang w:val="fi-FI"/>
        </w:rPr>
        <w:t>3</w:t>
      </w:r>
      <w:r w:rsidRPr="004F002D">
        <w:rPr>
          <w:rFonts w:ascii="Tahoma" w:hAnsi="Tahoma" w:cs="Tahoma"/>
          <w:noProof/>
          <w:sz w:val="22"/>
          <w:lang w:val="fi-FI"/>
        </w:rPr>
        <w:t>(8), 186–207. https://doi.org/10.35905/sipakainge.v3i4.14572</w:t>
      </w:r>
    </w:p>
    <w:p w14:paraId="57AC14A2" w14:textId="77777777" w:rsidR="00217D59" w:rsidRPr="004F002D" w:rsidRDefault="00217D59" w:rsidP="002E707D">
      <w:pPr>
        <w:widowControl w:val="0"/>
        <w:autoSpaceDE w:val="0"/>
        <w:autoSpaceDN w:val="0"/>
        <w:adjustRightInd w:val="0"/>
        <w:ind w:left="480" w:hanging="480"/>
        <w:jc w:val="both"/>
        <w:rPr>
          <w:rFonts w:ascii="Tahoma" w:hAnsi="Tahoma" w:cs="Tahoma"/>
          <w:noProof/>
          <w:sz w:val="22"/>
          <w:lang w:val="fi-FI"/>
        </w:rPr>
      </w:pPr>
      <w:r w:rsidRPr="004F002D">
        <w:rPr>
          <w:rFonts w:ascii="Tahoma" w:hAnsi="Tahoma" w:cs="Tahoma"/>
          <w:noProof/>
          <w:sz w:val="22"/>
          <w:lang w:val="fi-FI"/>
        </w:rPr>
        <w:t xml:space="preserve">Rahawati, F. T., Floranitarifa’i, C. C., Jupantoro, M. M., Pranasya, A. E., &amp; Hidayati, A. N. (2025). Sinergi Maqashid Syariah dan SDGs : Model Pembangunan Berkelanjutan Berbasis Nilai-Nilai Islam. </w:t>
      </w:r>
      <w:r w:rsidRPr="004F002D">
        <w:rPr>
          <w:rFonts w:ascii="Tahoma" w:hAnsi="Tahoma" w:cs="Tahoma"/>
          <w:i/>
          <w:iCs/>
          <w:noProof/>
          <w:sz w:val="22"/>
          <w:lang w:val="fi-FI"/>
        </w:rPr>
        <w:t>Jurnal Ilmiah Ekonomi Manajemen Bisnis Dan Akuntansi</w:t>
      </w:r>
      <w:r w:rsidRPr="004F002D">
        <w:rPr>
          <w:rFonts w:ascii="Tahoma" w:hAnsi="Tahoma" w:cs="Tahoma"/>
          <w:noProof/>
          <w:sz w:val="22"/>
          <w:lang w:val="fi-FI"/>
        </w:rPr>
        <w:t xml:space="preserve">, </w:t>
      </w:r>
      <w:r w:rsidRPr="004F002D">
        <w:rPr>
          <w:rFonts w:ascii="Tahoma" w:hAnsi="Tahoma" w:cs="Tahoma"/>
          <w:i/>
          <w:iCs/>
          <w:noProof/>
          <w:sz w:val="22"/>
          <w:lang w:val="fi-FI"/>
        </w:rPr>
        <w:t>2</w:t>
      </w:r>
      <w:r w:rsidRPr="004F002D">
        <w:rPr>
          <w:rFonts w:ascii="Tahoma" w:hAnsi="Tahoma" w:cs="Tahoma"/>
          <w:noProof/>
          <w:sz w:val="22"/>
          <w:lang w:val="fi-FI"/>
        </w:rPr>
        <w:t>(6), 745–756. https://doi.org/10.61722/jemba.v2i6.1691</w:t>
      </w:r>
    </w:p>
    <w:p w14:paraId="7FA073F9" w14:textId="77777777" w:rsidR="00217D59" w:rsidRPr="004F002D" w:rsidRDefault="00217D59" w:rsidP="002E707D">
      <w:pPr>
        <w:widowControl w:val="0"/>
        <w:autoSpaceDE w:val="0"/>
        <w:autoSpaceDN w:val="0"/>
        <w:adjustRightInd w:val="0"/>
        <w:ind w:left="480" w:hanging="480"/>
        <w:jc w:val="both"/>
        <w:rPr>
          <w:rFonts w:ascii="Tahoma" w:hAnsi="Tahoma" w:cs="Tahoma"/>
          <w:noProof/>
          <w:sz w:val="22"/>
          <w:lang w:val="fi-FI"/>
        </w:rPr>
      </w:pPr>
      <w:r w:rsidRPr="004F002D">
        <w:rPr>
          <w:rFonts w:ascii="Tahoma" w:hAnsi="Tahoma" w:cs="Tahoma"/>
          <w:noProof/>
          <w:sz w:val="22"/>
          <w:lang w:val="fi-FI"/>
        </w:rPr>
        <w:t xml:space="preserve">Sari, D. P., Fitri, A. O., &amp; Fasa, M. I. (2025). </w:t>
      </w:r>
      <w:r w:rsidRPr="00217D59">
        <w:rPr>
          <w:rFonts w:ascii="Tahoma" w:hAnsi="Tahoma" w:cs="Tahoma"/>
          <w:noProof/>
          <w:sz w:val="22"/>
        </w:rPr>
        <w:t xml:space="preserve">Implementasi Prinsip Maqashid Syariah Dalam Operasional Perbankan Syariah. </w:t>
      </w:r>
      <w:r w:rsidRPr="004F002D">
        <w:rPr>
          <w:rFonts w:ascii="Tahoma" w:hAnsi="Tahoma" w:cs="Tahoma"/>
          <w:i/>
          <w:iCs/>
          <w:noProof/>
          <w:sz w:val="22"/>
          <w:lang w:val="fi-FI"/>
        </w:rPr>
        <w:t>Inflasi: Jurnal Ekonomi, Manajemen Dan Perbankan</w:t>
      </w:r>
      <w:r w:rsidRPr="004F002D">
        <w:rPr>
          <w:rFonts w:ascii="Tahoma" w:hAnsi="Tahoma" w:cs="Tahoma"/>
          <w:noProof/>
          <w:sz w:val="22"/>
          <w:lang w:val="fi-FI"/>
        </w:rPr>
        <w:t xml:space="preserve">, </w:t>
      </w:r>
      <w:r w:rsidRPr="004F002D">
        <w:rPr>
          <w:rFonts w:ascii="Tahoma" w:hAnsi="Tahoma" w:cs="Tahoma"/>
          <w:i/>
          <w:iCs/>
          <w:noProof/>
          <w:sz w:val="22"/>
          <w:lang w:val="fi-FI"/>
        </w:rPr>
        <w:t>2</w:t>
      </w:r>
      <w:r w:rsidRPr="004F002D">
        <w:rPr>
          <w:rFonts w:ascii="Tahoma" w:hAnsi="Tahoma" w:cs="Tahoma"/>
          <w:noProof/>
          <w:sz w:val="22"/>
          <w:lang w:val="fi-FI"/>
        </w:rPr>
        <w:t>(1), 50–57. https://doi.org/10.66341/inflasi.v2i1.120</w:t>
      </w:r>
    </w:p>
    <w:p w14:paraId="498E1197" w14:textId="77777777" w:rsidR="00217D59" w:rsidRPr="00217D59" w:rsidRDefault="00217D59" w:rsidP="002E707D">
      <w:pPr>
        <w:widowControl w:val="0"/>
        <w:autoSpaceDE w:val="0"/>
        <w:autoSpaceDN w:val="0"/>
        <w:adjustRightInd w:val="0"/>
        <w:ind w:left="480" w:hanging="480"/>
        <w:jc w:val="both"/>
        <w:rPr>
          <w:rFonts w:ascii="Tahoma" w:hAnsi="Tahoma" w:cs="Tahoma"/>
          <w:noProof/>
          <w:sz w:val="22"/>
        </w:rPr>
      </w:pPr>
      <w:r w:rsidRPr="004F002D">
        <w:rPr>
          <w:rFonts w:ascii="Tahoma" w:hAnsi="Tahoma" w:cs="Tahoma"/>
          <w:noProof/>
          <w:sz w:val="22"/>
          <w:lang w:val="fi-FI"/>
        </w:rPr>
        <w:t xml:space="preserve">Sari, K., Ismail, M., &amp; Ekawaty, M. (2020). </w:t>
      </w:r>
      <w:r w:rsidRPr="00217D59">
        <w:rPr>
          <w:rFonts w:ascii="Tahoma" w:hAnsi="Tahoma" w:cs="Tahoma"/>
          <w:noProof/>
          <w:sz w:val="22"/>
        </w:rPr>
        <w:t xml:space="preserve">Bank Syariah : peran sosial dalam kerangka maqashid syariah dan profitabilitas di negara Qatar dan Indonesia. </w:t>
      </w:r>
      <w:r w:rsidRPr="00217D59">
        <w:rPr>
          <w:rFonts w:ascii="Tahoma" w:hAnsi="Tahoma" w:cs="Tahoma"/>
          <w:i/>
          <w:iCs/>
          <w:noProof/>
          <w:sz w:val="22"/>
        </w:rPr>
        <w:t>Journal of Business and Banking</w:t>
      </w:r>
      <w:r w:rsidRPr="00217D59">
        <w:rPr>
          <w:rFonts w:ascii="Tahoma" w:hAnsi="Tahoma" w:cs="Tahoma"/>
          <w:noProof/>
          <w:sz w:val="22"/>
        </w:rPr>
        <w:t xml:space="preserve">, </w:t>
      </w:r>
      <w:r w:rsidRPr="00217D59">
        <w:rPr>
          <w:rFonts w:ascii="Tahoma" w:hAnsi="Tahoma" w:cs="Tahoma"/>
          <w:i/>
          <w:iCs/>
          <w:noProof/>
          <w:sz w:val="22"/>
        </w:rPr>
        <w:t>9</w:t>
      </w:r>
      <w:r w:rsidRPr="00217D59">
        <w:rPr>
          <w:rFonts w:ascii="Tahoma" w:hAnsi="Tahoma" w:cs="Tahoma"/>
          <w:noProof/>
          <w:sz w:val="22"/>
        </w:rPr>
        <w:t>(2), 179–196. https://doi.org/10.14414/jbb.v9i2.1834</w:t>
      </w:r>
    </w:p>
    <w:p w14:paraId="6A45AAB0" w14:textId="0118A949" w:rsidR="00217D59" w:rsidRPr="00217D59" w:rsidRDefault="00217D59" w:rsidP="002E707D">
      <w:pPr>
        <w:widowControl w:val="0"/>
        <w:autoSpaceDE w:val="0"/>
        <w:autoSpaceDN w:val="0"/>
        <w:adjustRightInd w:val="0"/>
        <w:ind w:left="480" w:hanging="480"/>
        <w:jc w:val="both"/>
        <w:rPr>
          <w:rFonts w:ascii="Tahoma" w:hAnsi="Tahoma" w:cs="Tahoma"/>
          <w:noProof/>
          <w:sz w:val="22"/>
        </w:rPr>
      </w:pPr>
      <w:r w:rsidRPr="00217D59">
        <w:rPr>
          <w:rFonts w:ascii="Tahoma" w:hAnsi="Tahoma" w:cs="Tahoma"/>
          <w:noProof/>
          <w:sz w:val="22"/>
        </w:rPr>
        <w:t xml:space="preserve">Sirilakshmi, Y., T A., Gogoi, B. P., Bhuyan, N., &amp; Bunkar, R. C. (2024). Content Analysis In Qualitative Research: Importance And Application. In </w:t>
      </w:r>
      <w:r w:rsidRPr="00217D59">
        <w:rPr>
          <w:rFonts w:ascii="Tahoma" w:hAnsi="Tahoma" w:cs="Tahoma"/>
          <w:i/>
          <w:iCs/>
          <w:noProof/>
          <w:sz w:val="22"/>
        </w:rPr>
        <w:t>Exploring Narratives: A Guide to Qualitative Research Methods</w:t>
      </w:r>
      <w:r w:rsidRPr="00217D59">
        <w:rPr>
          <w:rFonts w:ascii="Tahoma" w:hAnsi="Tahoma" w:cs="Tahoma"/>
          <w:noProof/>
          <w:sz w:val="22"/>
        </w:rPr>
        <w:t xml:space="preserve"> (pp. 82–97). P.K. Publishers &amp; Distributors. https://www.researchgate.net/publication/385973745_Content_Analysis_In_Qualitative_Research_Importance_And_Application</w:t>
      </w:r>
    </w:p>
    <w:p w14:paraId="0DB2242B" w14:textId="77777777" w:rsidR="00217D59" w:rsidRPr="00217D59" w:rsidRDefault="00217D59" w:rsidP="002E707D">
      <w:pPr>
        <w:widowControl w:val="0"/>
        <w:autoSpaceDE w:val="0"/>
        <w:autoSpaceDN w:val="0"/>
        <w:adjustRightInd w:val="0"/>
        <w:ind w:left="480" w:hanging="480"/>
        <w:jc w:val="both"/>
        <w:rPr>
          <w:rFonts w:ascii="Tahoma" w:hAnsi="Tahoma" w:cs="Tahoma"/>
          <w:noProof/>
          <w:sz w:val="22"/>
        </w:rPr>
      </w:pPr>
      <w:r w:rsidRPr="00217D59">
        <w:rPr>
          <w:rFonts w:ascii="Tahoma" w:hAnsi="Tahoma" w:cs="Tahoma"/>
          <w:noProof/>
          <w:sz w:val="22"/>
        </w:rPr>
        <w:t xml:space="preserve">Sithole, A. (2025). Choosing a Qualitative Research Paradigm for Social Sciences : A Literature Review for Educational Researchers. </w:t>
      </w:r>
      <w:r w:rsidRPr="00217D59">
        <w:rPr>
          <w:rFonts w:ascii="Tahoma" w:hAnsi="Tahoma" w:cs="Tahoma"/>
          <w:i/>
          <w:iCs/>
          <w:noProof/>
          <w:sz w:val="22"/>
        </w:rPr>
        <w:t>International Journal of Research and Innovation in Social Science (IJRISS)</w:t>
      </w:r>
      <w:r w:rsidRPr="00217D59">
        <w:rPr>
          <w:rFonts w:ascii="Tahoma" w:hAnsi="Tahoma" w:cs="Tahoma"/>
          <w:noProof/>
          <w:sz w:val="22"/>
        </w:rPr>
        <w:t xml:space="preserve">, </w:t>
      </w:r>
      <w:r w:rsidRPr="00217D59">
        <w:rPr>
          <w:rFonts w:ascii="Tahoma" w:hAnsi="Tahoma" w:cs="Tahoma"/>
          <w:i/>
          <w:iCs/>
          <w:noProof/>
          <w:sz w:val="22"/>
        </w:rPr>
        <w:t>VIII</w:t>
      </w:r>
      <w:r w:rsidRPr="00217D59">
        <w:rPr>
          <w:rFonts w:ascii="Tahoma" w:hAnsi="Tahoma" w:cs="Tahoma"/>
          <w:noProof/>
          <w:sz w:val="22"/>
        </w:rPr>
        <w:t>(XII), 3945–3954. https://doi.org/10.47772/IJRISS.2024.8120327</w:t>
      </w:r>
    </w:p>
    <w:p w14:paraId="06222D43" w14:textId="77777777" w:rsidR="00217D59" w:rsidRPr="00217D59" w:rsidRDefault="00217D59" w:rsidP="002E707D">
      <w:pPr>
        <w:widowControl w:val="0"/>
        <w:autoSpaceDE w:val="0"/>
        <w:autoSpaceDN w:val="0"/>
        <w:adjustRightInd w:val="0"/>
        <w:ind w:left="480" w:hanging="480"/>
        <w:jc w:val="both"/>
        <w:rPr>
          <w:rFonts w:ascii="Tahoma" w:hAnsi="Tahoma" w:cs="Tahoma"/>
          <w:noProof/>
          <w:sz w:val="22"/>
        </w:rPr>
      </w:pPr>
      <w:r w:rsidRPr="00217D59">
        <w:rPr>
          <w:rFonts w:ascii="Tahoma" w:hAnsi="Tahoma" w:cs="Tahoma"/>
          <w:noProof/>
          <w:sz w:val="22"/>
        </w:rPr>
        <w:t xml:space="preserve">Wakhidah, L. M. N. (2025). Peran Ekonomi Syariah Dalam Mendukung Sustainable Development Goals (SDGs). </w:t>
      </w:r>
      <w:r w:rsidRPr="00217D59">
        <w:rPr>
          <w:rFonts w:ascii="Tahoma" w:hAnsi="Tahoma" w:cs="Tahoma"/>
          <w:i/>
          <w:iCs/>
          <w:noProof/>
          <w:sz w:val="22"/>
        </w:rPr>
        <w:t>Journal of Sharia Economics</w:t>
      </w:r>
      <w:r w:rsidRPr="00217D59">
        <w:rPr>
          <w:rFonts w:ascii="Tahoma" w:hAnsi="Tahoma" w:cs="Tahoma"/>
          <w:noProof/>
          <w:sz w:val="22"/>
        </w:rPr>
        <w:t xml:space="preserve">, </w:t>
      </w:r>
      <w:r w:rsidRPr="00217D59">
        <w:rPr>
          <w:rFonts w:ascii="Tahoma" w:hAnsi="Tahoma" w:cs="Tahoma"/>
          <w:i/>
          <w:iCs/>
          <w:noProof/>
          <w:sz w:val="22"/>
        </w:rPr>
        <w:t>7</w:t>
      </w:r>
      <w:r w:rsidRPr="00217D59">
        <w:rPr>
          <w:rFonts w:ascii="Tahoma" w:hAnsi="Tahoma" w:cs="Tahoma"/>
          <w:noProof/>
          <w:sz w:val="22"/>
        </w:rPr>
        <w:t>(1), 305–314. https://doi.org/10.35896/jse.v7i1.1332</w:t>
      </w:r>
    </w:p>
    <w:p w14:paraId="0775D66D" w14:textId="291728C8" w:rsidR="00C56D89" w:rsidRPr="00810916" w:rsidRDefault="00217D59" w:rsidP="004F002D">
      <w:pPr>
        <w:widowControl w:val="0"/>
        <w:autoSpaceDE w:val="0"/>
        <w:autoSpaceDN w:val="0"/>
        <w:adjustRightInd w:val="0"/>
        <w:ind w:left="480" w:hanging="480"/>
        <w:jc w:val="both"/>
        <w:rPr>
          <w:rFonts w:ascii="Tahoma" w:hAnsi="Tahoma" w:cs="Tahoma"/>
        </w:rPr>
      </w:pPr>
      <w:r w:rsidRPr="00217D59">
        <w:rPr>
          <w:rFonts w:ascii="Tahoma" w:hAnsi="Tahoma" w:cs="Tahoma"/>
          <w:noProof/>
          <w:sz w:val="22"/>
        </w:rPr>
        <w:t xml:space="preserve">Wardiman, J., Hidayat, M. T., Afdal, Z., &amp; Nofriansyah. (2024). Integration of ESG ( Environmental, Social, Governance ) Criteria in Islamic Finance : A Systematic Review. </w:t>
      </w:r>
      <w:r w:rsidRPr="004F002D">
        <w:rPr>
          <w:rFonts w:ascii="Tahoma" w:hAnsi="Tahoma" w:cs="Tahoma"/>
          <w:i/>
          <w:iCs/>
          <w:noProof/>
          <w:sz w:val="22"/>
          <w:lang w:val="fi-FI"/>
        </w:rPr>
        <w:t>Laa Maisyir: Jurnal Ekonomi Islam</w:t>
      </w:r>
      <w:r w:rsidRPr="004F002D">
        <w:rPr>
          <w:rFonts w:ascii="Tahoma" w:hAnsi="Tahoma" w:cs="Tahoma"/>
          <w:noProof/>
          <w:sz w:val="22"/>
          <w:lang w:val="fi-FI"/>
        </w:rPr>
        <w:t xml:space="preserve">, </w:t>
      </w:r>
      <w:r w:rsidRPr="004F002D">
        <w:rPr>
          <w:rFonts w:ascii="Tahoma" w:hAnsi="Tahoma" w:cs="Tahoma"/>
          <w:i/>
          <w:iCs/>
          <w:noProof/>
          <w:sz w:val="22"/>
          <w:lang w:val="fi-FI"/>
        </w:rPr>
        <w:t>1</w:t>
      </w:r>
      <w:r w:rsidRPr="004F002D">
        <w:rPr>
          <w:rFonts w:ascii="Tahoma" w:hAnsi="Tahoma" w:cs="Tahoma"/>
          <w:noProof/>
          <w:sz w:val="22"/>
          <w:lang w:val="fi-FI"/>
        </w:rPr>
        <w:t>(1), 344–363. https://doi.org/10.24252/lamaisyir.v1i1.53133</w:t>
      </w:r>
      <w:r w:rsidR="00285869" w:rsidRPr="00285869">
        <w:rPr>
          <w:rFonts w:ascii="Tahoma" w:hAnsi="Tahoma" w:cs="Tahoma"/>
        </w:rPr>
        <w:fldChar w:fldCharType="end"/>
      </w:r>
    </w:p>
    <w:sectPr w:rsidR="00C56D89" w:rsidRPr="00810916" w:rsidSect="0000561A">
      <w:headerReference w:type="default" r:id="rId9"/>
      <w:pgSz w:w="11909" w:h="16834" w:code="9"/>
      <w:pgMar w:top="1701" w:right="1418" w:bottom="1701" w:left="198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B0E3F" w14:textId="77777777" w:rsidR="004E114D" w:rsidRDefault="004E114D">
      <w:r>
        <w:separator/>
      </w:r>
    </w:p>
  </w:endnote>
  <w:endnote w:type="continuationSeparator" w:id="0">
    <w:p w14:paraId="52E9C948" w14:textId="77777777" w:rsidR="004E114D" w:rsidRDefault="004E1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altName w:val="Times New Roman"/>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A3832" w14:textId="77777777" w:rsidR="004E114D" w:rsidRDefault="004E114D">
      <w:r>
        <w:separator/>
      </w:r>
    </w:p>
  </w:footnote>
  <w:footnote w:type="continuationSeparator" w:id="0">
    <w:p w14:paraId="674D2034" w14:textId="77777777" w:rsidR="004E114D" w:rsidRDefault="004E11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E894B" w14:textId="77777777" w:rsidR="00053E8D" w:rsidRDefault="005961CE" w:rsidP="00053E8D">
    <w:pPr>
      <w:pStyle w:val="Default"/>
    </w:pPr>
    <w:r>
      <w:rPr>
        <w:noProof/>
      </w:rPr>
      <mc:AlternateContent>
        <mc:Choice Requires="wps">
          <w:drawing>
            <wp:anchor distT="0" distB="0" distL="114300" distR="114300" simplePos="0" relativeHeight="251658240" behindDoc="1" locked="0" layoutInCell="0" allowOverlap="1" wp14:anchorId="16BF12BD" wp14:editId="3B3E8C64">
              <wp:simplePos x="0" y="0"/>
              <wp:positionH relativeFrom="margin">
                <wp:posOffset>-1120775</wp:posOffset>
              </wp:positionH>
              <wp:positionV relativeFrom="page">
                <wp:posOffset>692150</wp:posOffset>
              </wp:positionV>
              <wp:extent cx="1416050" cy="503555"/>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6050" cy="503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9CA6DA" w14:textId="77777777" w:rsidR="00DA238D" w:rsidRPr="00C947D3" w:rsidRDefault="00DA238D" w:rsidP="00DA238D">
                          <w:pPr>
                            <w:widowControl w:val="0"/>
                            <w:autoSpaceDE w:val="0"/>
                            <w:autoSpaceDN w:val="0"/>
                            <w:adjustRightInd w:val="0"/>
                            <w:spacing w:line="204" w:lineRule="exact"/>
                            <w:ind w:left="20" w:right="21"/>
                            <w:rPr>
                              <w:rFonts w:ascii="Tahoma" w:hAnsi="Tahoma" w:cs="Tahoma"/>
                              <w:sz w:val="20"/>
                              <w:lang w:val="id-ID"/>
                            </w:rPr>
                          </w:pPr>
                        </w:p>
                        <w:p w14:paraId="39B9E0D2" w14:textId="77777777" w:rsidR="00DA238D" w:rsidRPr="00C947D3" w:rsidRDefault="00DA238D" w:rsidP="00DA238D">
                          <w:pPr>
                            <w:widowControl w:val="0"/>
                            <w:autoSpaceDE w:val="0"/>
                            <w:autoSpaceDN w:val="0"/>
                            <w:adjustRightInd w:val="0"/>
                            <w:spacing w:line="204" w:lineRule="exact"/>
                            <w:ind w:left="20" w:right="21"/>
                            <w:rPr>
                              <w:rFonts w:ascii="Tahoma" w:hAnsi="Tahoma" w:cs="Tahoma"/>
                              <w:sz w:val="20"/>
                            </w:rPr>
                          </w:pPr>
                          <w:r w:rsidRPr="00C947D3">
                            <w:rPr>
                              <w:rFonts w:ascii="Tahoma" w:hAnsi="Tahoma" w:cs="Tahoma"/>
                              <w:sz w:val="20"/>
                              <w:lang w:val="id-ID"/>
                            </w:rPr>
                            <w:t>P-</w:t>
                          </w:r>
                          <w:r w:rsidRPr="00C947D3">
                            <w:rPr>
                              <w:rFonts w:ascii="Tahoma" w:hAnsi="Tahoma" w:cs="Tahoma"/>
                              <w:sz w:val="20"/>
                            </w:rPr>
                            <w:t>ISSN</w:t>
                          </w:r>
                          <w:r w:rsidRPr="00C947D3">
                            <w:rPr>
                              <w:rFonts w:ascii="Tahoma" w:hAnsi="Tahoma" w:cs="Tahoma"/>
                              <w:sz w:val="20"/>
                              <w:lang w:val="id-ID"/>
                            </w:rPr>
                            <w:t xml:space="preserve">: </w:t>
                          </w:r>
                          <w:r w:rsidRPr="00C947D3">
                            <w:rPr>
                              <w:rFonts w:ascii="Tahoma" w:hAnsi="Tahoma" w:cs="Tahoma"/>
                              <w:sz w:val="20"/>
                            </w:rPr>
                            <w:t>2622-4755</w:t>
                          </w:r>
                        </w:p>
                        <w:p w14:paraId="2AF2BA26" w14:textId="77777777" w:rsidR="00DA238D" w:rsidRPr="00C947D3" w:rsidRDefault="00DA238D" w:rsidP="00DA238D">
                          <w:pPr>
                            <w:widowControl w:val="0"/>
                            <w:autoSpaceDE w:val="0"/>
                            <w:autoSpaceDN w:val="0"/>
                            <w:adjustRightInd w:val="0"/>
                            <w:spacing w:line="204" w:lineRule="exact"/>
                            <w:ind w:left="20" w:right="21"/>
                            <w:rPr>
                              <w:rFonts w:ascii="Tahoma" w:hAnsi="Tahoma" w:cs="Tahoma"/>
                              <w:sz w:val="20"/>
                            </w:rPr>
                          </w:pPr>
                          <w:r w:rsidRPr="00C947D3">
                            <w:rPr>
                              <w:rFonts w:ascii="Tahoma" w:hAnsi="Tahoma" w:cs="Tahoma"/>
                              <w:sz w:val="20"/>
                              <w:lang w:val="id-ID"/>
                            </w:rPr>
                            <w:t>E-</w:t>
                          </w:r>
                          <w:r w:rsidRPr="00C947D3">
                            <w:rPr>
                              <w:rFonts w:ascii="Tahoma" w:hAnsi="Tahoma" w:cs="Tahoma"/>
                              <w:sz w:val="20"/>
                            </w:rPr>
                            <w:t>ISSN</w:t>
                          </w:r>
                          <w:r w:rsidRPr="00C947D3">
                            <w:rPr>
                              <w:rFonts w:ascii="Tahoma" w:hAnsi="Tahoma" w:cs="Tahoma"/>
                              <w:sz w:val="20"/>
                              <w:lang w:val="id-ID"/>
                            </w:rPr>
                            <w:t>:</w:t>
                          </w:r>
                          <w:r w:rsidRPr="00C947D3">
                            <w:rPr>
                              <w:rFonts w:ascii="Tahoma" w:hAnsi="Tahoma" w:cs="Tahoma"/>
                              <w:sz w:val="20"/>
                            </w:rPr>
                            <w:t xml:space="preserve"> 2622-4798</w:t>
                          </w:r>
                        </w:p>
                        <w:p w14:paraId="3CDBFFD3" w14:textId="77777777" w:rsidR="00DA238D" w:rsidRPr="00C947D3" w:rsidRDefault="00DA238D" w:rsidP="00DA238D">
                          <w:pPr>
                            <w:widowControl w:val="0"/>
                            <w:autoSpaceDE w:val="0"/>
                            <w:autoSpaceDN w:val="0"/>
                            <w:adjustRightInd w:val="0"/>
                            <w:spacing w:line="204" w:lineRule="exact"/>
                            <w:ind w:left="20" w:right="21"/>
                            <w:jc w:val="right"/>
                            <w:rPr>
                              <w:rFonts w:ascii="Tahoma" w:hAnsi="Tahoma" w:cs="Tahoma"/>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BF12BD" id="_x0000_t202" coordsize="21600,21600" o:spt="202" path="m,l,21600r21600,l21600,xe">
              <v:stroke joinstyle="miter"/>
              <v:path gradientshapeok="t" o:connecttype="rect"/>
            </v:shapetype>
            <v:shape id="Text Box 15" o:spid="_x0000_s1026" type="#_x0000_t202" style="position:absolute;margin-left:-88.25pt;margin-top:54.5pt;width:111.5pt;height:39.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" o:allowincell="f" filled="f" stroked="f">
              <v:textbox inset="0,0,0,0">
                <w:txbxContent>
                  <w:p w14:paraId="699CA6DA" w14:textId="77777777" w:rsidR="00DA238D" w:rsidRPr="00C947D3" w:rsidRDefault="00DA238D" w:rsidP="00DA238D">
                    <w:pPr>
                      <w:widowControl w:val="0"/>
                      <w:autoSpaceDE w:val="0"/>
                      <w:autoSpaceDN w:val="0"/>
                      <w:adjustRightInd w:val="0"/>
                      <w:spacing w:line="204" w:lineRule="exact"/>
                      <w:ind w:left="20" w:right="21"/>
                      <w:rPr>
                        <w:rFonts w:ascii="Tahoma" w:hAnsi="Tahoma" w:cs="Tahoma"/>
                        <w:sz w:val="20"/>
                        <w:lang w:val="id-ID"/>
                      </w:rPr>
                    </w:pPr>
                  </w:p>
                  <w:p w14:paraId="39B9E0D2" w14:textId="77777777" w:rsidR="00DA238D" w:rsidRPr="00C947D3" w:rsidRDefault="00DA238D" w:rsidP="00DA238D">
                    <w:pPr>
                      <w:widowControl w:val="0"/>
                      <w:autoSpaceDE w:val="0"/>
                      <w:autoSpaceDN w:val="0"/>
                      <w:adjustRightInd w:val="0"/>
                      <w:spacing w:line="204" w:lineRule="exact"/>
                      <w:ind w:left="20" w:right="21"/>
                      <w:rPr>
                        <w:rFonts w:ascii="Tahoma" w:hAnsi="Tahoma" w:cs="Tahoma"/>
                        <w:sz w:val="20"/>
                      </w:rPr>
                    </w:pPr>
                    <w:r w:rsidRPr="00C947D3">
                      <w:rPr>
                        <w:rFonts w:ascii="Tahoma" w:hAnsi="Tahoma" w:cs="Tahoma"/>
                        <w:sz w:val="20"/>
                        <w:lang w:val="id-ID"/>
                      </w:rPr>
                      <w:t>P-</w:t>
                    </w:r>
                    <w:r w:rsidRPr="00C947D3">
                      <w:rPr>
                        <w:rFonts w:ascii="Tahoma" w:hAnsi="Tahoma" w:cs="Tahoma"/>
                        <w:sz w:val="20"/>
                      </w:rPr>
                      <w:t>ISSN</w:t>
                    </w:r>
                    <w:r w:rsidRPr="00C947D3">
                      <w:rPr>
                        <w:rFonts w:ascii="Tahoma" w:hAnsi="Tahoma" w:cs="Tahoma"/>
                        <w:sz w:val="20"/>
                        <w:lang w:val="id-ID"/>
                      </w:rPr>
                      <w:t xml:space="preserve">: </w:t>
                    </w:r>
                    <w:r w:rsidRPr="00C947D3">
                      <w:rPr>
                        <w:rFonts w:ascii="Tahoma" w:hAnsi="Tahoma" w:cs="Tahoma"/>
                        <w:sz w:val="20"/>
                      </w:rPr>
                      <w:t>2622-4755</w:t>
                    </w:r>
                  </w:p>
                  <w:p w14:paraId="2AF2BA26" w14:textId="77777777" w:rsidR="00DA238D" w:rsidRPr="00C947D3" w:rsidRDefault="00DA238D" w:rsidP="00DA238D">
                    <w:pPr>
                      <w:widowControl w:val="0"/>
                      <w:autoSpaceDE w:val="0"/>
                      <w:autoSpaceDN w:val="0"/>
                      <w:adjustRightInd w:val="0"/>
                      <w:spacing w:line="204" w:lineRule="exact"/>
                      <w:ind w:left="20" w:right="21"/>
                      <w:rPr>
                        <w:rFonts w:ascii="Tahoma" w:hAnsi="Tahoma" w:cs="Tahoma"/>
                        <w:sz w:val="20"/>
                      </w:rPr>
                    </w:pPr>
                    <w:r w:rsidRPr="00C947D3">
                      <w:rPr>
                        <w:rFonts w:ascii="Tahoma" w:hAnsi="Tahoma" w:cs="Tahoma"/>
                        <w:sz w:val="20"/>
                        <w:lang w:val="id-ID"/>
                      </w:rPr>
                      <w:t>E-</w:t>
                    </w:r>
                    <w:r w:rsidRPr="00C947D3">
                      <w:rPr>
                        <w:rFonts w:ascii="Tahoma" w:hAnsi="Tahoma" w:cs="Tahoma"/>
                        <w:sz w:val="20"/>
                      </w:rPr>
                      <w:t>ISSN</w:t>
                    </w:r>
                    <w:r w:rsidRPr="00C947D3">
                      <w:rPr>
                        <w:rFonts w:ascii="Tahoma" w:hAnsi="Tahoma" w:cs="Tahoma"/>
                        <w:sz w:val="20"/>
                        <w:lang w:val="id-ID"/>
                      </w:rPr>
                      <w:t>:</w:t>
                    </w:r>
                    <w:r w:rsidRPr="00C947D3">
                      <w:rPr>
                        <w:rFonts w:ascii="Tahoma" w:hAnsi="Tahoma" w:cs="Tahoma"/>
                        <w:sz w:val="20"/>
                      </w:rPr>
                      <w:t xml:space="preserve"> 2622-4798</w:t>
                    </w:r>
                  </w:p>
                  <w:p w14:paraId="3CDBFFD3" w14:textId="77777777" w:rsidR="00DA238D" w:rsidRPr="00C947D3" w:rsidRDefault="00DA238D" w:rsidP="00DA238D">
                    <w:pPr>
                      <w:widowControl w:val="0"/>
                      <w:autoSpaceDE w:val="0"/>
                      <w:autoSpaceDN w:val="0"/>
                      <w:adjustRightInd w:val="0"/>
                      <w:spacing w:line="204" w:lineRule="exact"/>
                      <w:ind w:left="20" w:right="21"/>
                      <w:jc w:val="right"/>
                      <w:rPr>
                        <w:rFonts w:ascii="Tahoma" w:hAnsi="Tahoma" w:cs="Tahoma"/>
                        <w:sz w:val="16"/>
                        <w:szCs w:val="16"/>
                      </w:rPr>
                    </w:pPr>
                  </w:p>
                </w:txbxContent>
              </v:textbox>
              <w10:wrap anchorx="margin" anchory="page"/>
            </v:shape>
          </w:pict>
        </mc:Fallback>
      </mc:AlternateContent>
    </w:r>
    <w:r w:rsidR="00053E8D">
      <w:tab/>
    </w:r>
  </w:p>
  <w:p w14:paraId="2F15DDE2" w14:textId="77777777" w:rsidR="00053E8D" w:rsidRDefault="00053E8D" w:rsidP="00053E8D">
    <w:pPr>
      <w:pStyle w:val="Pa3"/>
      <w:jc w:val="center"/>
    </w:pPr>
    <w:r>
      <w:t xml:space="preserve"> </w:t>
    </w:r>
  </w:p>
  <w:tbl>
    <w:tblPr>
      <w:tblStyle w:val="TableGrid"/>
      <w:tblW w:w="8722" w:type="dxa"/>
      <w:tblInd w:w="6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2"/>
    </w:tblGrid>
    <w:tr w:rsidR="00053E8D" w14:paraId="12D53CF9" w14:textId="77777777" w:rsidTr="00053E8D">
      <w:tc>
        <w:tcPr>
          <w:tcW w:w="8722" w:type="dxa"/>
        </w:tcPr>
        <w:p w14:paraId="74EE068F" w14:textId="77777777" w:rsidR="00053E8D" w:rsidRPr="00053E8D" w:rsidRDefault="00053E8D" w:rsidP="00053E8D">
          <w:pPr>
            <w:pStyle w:val="Pa3"/>
            <w:jc w:val="center"/>
            <w:rPr>
              <w:rFonts w:ascii="Tahoma" w:hAnsi="Tahoma" w:cs="Tahoma"/>
              <w:color w:val="221E1F"/>
              <w:sz w:val="20"/>
              <w:szCs w:val="20"/>
            </w:rPr>
          </w:pPr>
          <w:r w:rsidRPr="00053E8D">
            <w:rPr>
              <w:rStyle w:val="A3"/>
              <w:rFonts w:ascii="Tahoma" w:hAnsi="Tahoma" w:cs="Tahoma"/>
              <w:sz w:val="20"/>
              <w:szCs w:val="20"/>
            </w:rPr>
            <w:t xml:space="preserve">The current issue and full text archive of this journal is available on IHTIFAZ </w:t>
          </w:r>
          <w:proofErr w:type="gramStart"/>
          <w:r w:rsidRPr="00053E8D">
            <w:rPr>
              <w:rStyle w:val="A3"/>
              <w:rFonts w:ascii="Tahoma" w:hAnsi="Tahoma" w:cs="Tahoma"/>
              <w:sz w:val="20"/>
              <w:szCs w:val="20"/>
            </w:rPr>
            <w:t>at :</w:t>
          </w:r>
          <w:proofErr w:type="gramEnd"/>
        </w:p>
        <w:p w14:paraId="6A7E8585" w14:textId="77777777" w:rsidR="00053E8D" w:rsidRPr="00053E8D" w:rsidRDefault="00053E8D" w:rsidP="00053E8D">
          <w:pPr>
            <w:pStyle w:val="Header"/>
            <w:tabs>
              <w:tab w:val="clear" w:pos="4680"/>
              <w:tab w:val="clear" w:pos="9360"/>
              <w:tab w:val="left" w:pos="2380"/>
            </w:tabs>
            <w:jc w:val="center"/>
            <w:rPr>
              <w:rFonts w:ascii="Tahoma" w:hAnsi="Tahoma" w:cs="Tahoma"/>
              <w:sz w:val="22"/>
              <w:szCs w:val="22"/>
            </w:rPr>
          </w:pPr>
          <w:r w:rsidRPr="00053E8D">
            <w:rPr>
              <w:rStyle w:val="A3"/>
              <w:rFonts w:ascii="Tahoma" w:hAnsi="Tahoma" w:cs="Tahoma"/>
              <w:sz w:val="20"/>
            </w:rPr>
            <w:t>https://doi.org/10.12928/ijiefb.v2i2.886</w:t>
          </w:r>
        </w:p>
      </w:tc>
    </w:tr>
  </w:tbl>
  <w:p w14:paraId="1990E763" w14:textId="77777777" w:rsidR="00DA238D" w:rsidRDefault="00DA238D" w:rsidP="00053E8D">
    <w:pPr>
      <w:pStyle w:val="P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decimal"/>
      <w:lvlText w:val="%1."/>
      <w:lvlJc w:val="right"/>
      <w:pPr>
        <w:tabs>
          <w:tab w:val="num" w:pos="180"/>
        </w:tabs>
        <w:ind w:left="180" w:hanging="180"/>
      </w:pPr>
      <w:rPr>
        <w:rFonts w:cs="Times New Roman" w:hint="default"/>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E9255C"/>
    <w:multiLevelType w:val="hybridMultilevel"/>
    <w:tmpl w:val="025490FE"/>
    <w:lvl w:ilvl="0" w:tplc="0409000F">
      <w:start w:val="1"/>
      <w:numFmt w:val="decimal"/>
      <w:lvlText w:val="%1."/>
      <w:lvlJc w:val="left"/>
      <w:pPr>
        <w:tabs>
          <w:tab w:val="num" w:pos="5940"/>
        </w:tabs>
        <w:ind w:left="5940" w:hanging="360"/>
      </w:pPr>
      <w:rPr>
        <w:rFonts w:cs="Times New Roman" w:hint="default"/>
      </w:rPr>
    </w:lvl>
    <w:lvl w:ilvl="1" w:tplc="A58442B4">
      <w:start w:val="1"/>
      <w:numFmt w:val="lowerLetter"/>
      <w:lvlText w:val="%2."/>
      <w:lvlJc w:val="left"/>
      <w:pPr>
        <w:tabs>
          <w:tab w:val="num" w:pos="1440"/>
        </w:tabs>
        <w:ind w:left="1440" w:hanging="360"/>
      </w:pPr>
      <w:rPr>
        <w:rFonts w:cs="Times New Roman"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hint="default"/>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E7C6939"/>
    <w:multiLevelType w:val="hybridMultilevel"/>
    <w:tmpl w:val="09E86990"/>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0231238"/>
    <w:multiLevelType w:val="hybridMultilevel"/>
    <w:tmpl w:val="22D0F228"/>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 w15:restartNumberingAfterBreak="0">
    <w:nsid w:val="4DAA3A68"/>
    <w:multiLevelType w:val="multilevel"/>
    <w:tmpl w:val="EF46E958"/>
    <w:lvl w:ilvl="0">
      <w:start w:val="1"/>
      <w:numFmt w:val="decimal"/>
      <w:lvlText w:val="%1."/>
      <w:lvlJc w:val="left"/>
      <w:pPr>
        <w:ind w:left="72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520" w:hanging="216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5" w15:restartNumberingAfterBreak="0">
    <w:nsid w:val="4FFD6E21"/>
    <w:multiLevelType w:val="hybridMultilevel"/>
    <w:tmpl w:val="F46A450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53843DC0"/>
    <w:multiLevelType w:val="hybridMultilevel"/>
    <w:tmpl w:val="67C21062"/>
    <w:lvl w:ilvl="0" w:tplc="C4E05EFE">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7" w15:restartNumberingAfterBreak="0">
    <w:nsid w:val="6D3552E5"/>
    <w:multiLevelType w:val="hybridMultilevel"/>
    <w:tmpl w:val="3B60665E"/>
    <w:lvl w:ilvl="0" w:tplc="714627F4">
      <w:start w:val="1"/>
      <w:numFmt w:val="decimal"/>
      <w:lvlText w:val="%1."/>
      <w:lvlJc w:val="left"/>
      <w:pPr>
        <w:ind w:left="1080" w:hanging="72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num w:numId="1" w16cid:durableId="1237477472">
    <w:abstractNumId w:val="0"/>
  </w:num>
  <w:num w:numId="2" w16cid:durableId="516119917">
    <w:abstractNumId w:val="5"/>
  </w:num>
  <w:num w:numId="3" w16cid:durableId="392972681">
    <w:abstractNumId w:val="1"/>
  </w:num>
  <w:num w:numId="4" w16cid:durableId="142965403">
    <w:abstractNumId w:val="2"/>
  </w:num>
  <w:num w:numId="5" w16cid:durableId="455564559">
    <w:abstractNumId w:val="3"/>
  </w:num>
  <w:num w:numId="6" w16cid:durableId="415440685">
    <w:abstractNumId w:val="4"/>
  </w:num>
  <w:num w:numId="7" w16cid:durableId="1577470861">
    <w:abstractNumId w:val="6"/>
  </w:num>
  <w:num w:numId="8" w16cid:durableId="13279773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EwNTI0MjUyMDQ3MDVU0lEKTi0uzszPAykwrAUA5Xx5kiwAAAA="/>
  </w:docVars>
  <w:rsids>
    <w:rsidRoot w:val="00D73172"/>
    <w:rsid w:val="0000561A"/>
    <w:rsid w:val="00014CED"/>
    <w:rsid w:val="00017BCC"/>
    <w:rsid w:val="00020751"/>
    <w:rsid w:val="000351E6"/>
    <w:rsid w:val="000366A6"/>
    <w:rsid w:val="0004270F"/>
    <w:rsid w:val="00047604"/>
    <w:rsid w:val="00053E8D"/>
    <w:rsid w:val="00056CD0"/>
    <w:rsid w:val="000618A6"/>
    <w:rsid w:val="000B3CA6"/>
    <w:rsid w:val="000D33B9"/>
    <w:rsid w:val="000F14E4"/>
    <w:rsid w:val="00113416"/>
    <w:rsid w:val="001169AE"/>
    <w:rsid w:val="001318ED"/>
    <w:rsid w:val="00143C14"/>
    <w:rsid w:val="00146630"/>
    <w:rsid w:val="0015441C"/>
    <w:rsid w:val="00161528"/>
    <w:rsid w:val="001672F9"/>
    <w:rsid w:val="00172B7E"/>
    <w:rsid w:val="001810C6"/>
    <w:rsid w:val="001A1797"/>
    <w:rsid w:val="001C684D"/>
    <w:rsid w:val="001D5018"/>
    <w:rsid w:val="001D5D6F"/>
    <w:rsid w:val="001D68D6"/>
    <w:rsid w:val="001F5362"/>
    <w:rsid w:val="0020117F"/>
    <w:rsid w:val="00201B74"/>
    <w:rsid w:val="00203B5F"/>
    <w:rsid w:val="002070E9"/>
    <w:rsid w:val="0021008A"/>
    <w:rsid w:val="00214280"/>
    <w:rsid w:val="00217D59"/>
    <w:rsid w:val="002241B8"/>
    <w:rsid w:val="00226B15"/>
    <w:rsid w:val="00234384"/>
    <w:rsid w:val="00236FE1"/>
    <w:rsid w:val="00240055"/>
    <w:rsid w:val="00242174"/>
    <w:rsid w:val="0026234A"/>
    <w:rsid w:val="00274420"/>
    <w:rsid w:val="00281CDA"/>
    <w:rsid w:val="00283539"/>
    <w:rsid w:val="00283A0A"/>
    <w:rsid w:val="00285869"/>
    <w:rsid w:val="002B3497"/>
    <w:rsid w:val="002D034D"/>
    <w:rsid w:val="002D2BC3"/>
    <w:rsid w:val="002D566A"/>
    <w:rsid w:val="002E707D"/>
    <w:rsid w:val="00301BC6"/>
    <w:rsid w:val="00302D5B"/>
    <w:rsid w:val="00307AC7"/>
    <w:rsid w:val="00324AFE"/>
    <w:rsid w:val="00333761"/>
    <w:rsid w:val="00333A4D"/>
    <w:rsid w:val="00336B34"/>
    <w:rsid w:val="003451AD"/>
    <w:rsid w:val="00352830"/>
    <w:rsid w:val="00362D3E"/>
    <w:rsid w:val="00367074"/>
    <w:rsid w:val="00393125"/>
    <w:rsid w:val="00396A7A"/>
    <w:rsid w:val="003A5A81"/>
    <w:rsid w:val="003B013B"/>
    <w:rsid w:val="003E2213"/>
    <w:rsid w:val="003E2DEB"/>
    <w:rsid w:val="003E601D"/>
    <w:rsid w:val="003F3193"/>
    <w:rsid w:val="004013F0"/>
    <w:rsid w:val="00416BB7"/>
    <w:rsid w:val="00433E37"/>
    <w:rsid w:val="0043598E"/>
    <w:rsid w:val="004512FA"/>
    <w:rsid w:val="0045624C"/>
    <w:rsid w:val="004638CB"/>
    <w:rsid w:val="0046664D"/>
    <w:rsid w:val="004703D2"/>
    <w:rsid w:val="00470C6C"/>
    <w:rsid w:val="00484B8B"/>
    <w:rsid w:val="00484E76"/>
    <w:rsid w:val="00485117"/>
    <w:rsid w:val="004A6B49"/>
    <w:rsid w:val="004B0378"/>
    <w:rsid w:val="004B1054"/>
    <w:rsid w:val="004B6779"/>
    <w:rsid w:val="004C14EB"/>
    <w:rsid w:val="004C5327"/>
    <w:rsid w:val="004E0BA7"/>
    <w:rsid w:val="004E114D"/>
    <w:rsid w:val="004E37EB"/>
    <w:rsid w:val="004F002D"/>
    <w:rsid w:val="004F1A61"/>
    <w:rsid w:val="004F6BE7"/>
    <w:rsid w:val="0050077E"/>
    <w:rsid w:val="00504285"/>
    <w:rsid w:val="00505C75"/>
    <w:rsid w:val="00507C63"/>
    <w:rsid w:val="00511E1F"/>
    <w:rsid w:val="00517ADE"/>
    <w:rsid w:val="00525BAC"/>
    <w:rsid w:val="00526E9C"/>
    <w:rsid w:val="005318D0"/>
    <w:rsid w:val="00535B63"/>
    <w:rsid w:val="00541D2A"/>
    <w:rsid w:val="00553451"/>
    <w:rsid w:val="00555CEC"/>
    <w:rsid w:val="005874ED"/>
    <w:rsid w:val="00587947"/>
    <w:rsid w:val="005961CE"/>
    <w:rsid w:val="005C182F"/>
    <w:rsid w:val="005D7FE9"/>
    <w:rsid w:val="005E42DE"/>
    <w:rsid w:val="005E65FC"/>
    <w:rsid w:val="005E6CE5"/>
    <w:rsid w:val="006048B8"/>
    <w:rsid w:val="00612CF4"/>
    <w:rsid w:val="006159B1"/>
    <w:rsid w:val="006211E1"/>
    <w:rsid w:val="00622AFB"/>
    <w:rsid w:val="00633A61"/>
    <w:rsid w:val="00634986"/>
    <w:rsid w:val="006459CF"/>
    <w:rsid w:val="00657D32"/>
    <w:rsid w:val="006636B1"/>
    <w:rsid w:val="0067687D"/>
    <w:rsid w:val="006856FB"/>
    <w:rsid w:val="00697671"/>
    <w:rsid w:val="006A302A"/>
    <w:rsid w:val="006A3918"/>
    <w:rsid w:val="006D17A0"/>
    <w:rsid w:val="006D4540"/>
    <w:rsid w:val="006E1014"/>
    <w:rsid w:val="006E6454"/>
    <w:rsid w:val="006F5ACD"/>
    <w:rsid w:val="00704C91"/>
    <w:rsid w:val="00705A8D"/>
    <w:rsid w:val="007060B2"/>
    <w:rsid w:val="00713F5B"/>
    <w:rsid w:val="00714442"/>
    <w:rsid w:val="0071497F"/>
    <w:rsid w:val="00726392"/>
    <w:rsid w:val="0073432E"/>
    <w:rsid w:val="00737F75"/>
    <w:rsid w:val="0074124B"/>
    <w:rsid w:val="007432C2"/>
    <w:rsid w:val="00743FE8"/>
    <w:rsid w:val="00786EB1"/>
    <w:rsid w:val="007A0CBD"/>
    <w:rsid w:val="007A1220"/>
    <w:rsid w:val="007A3727"/>
    <w:rsid w:val="007D1129"/>
    <w:rsid w:val="007F1D7E"/>
    <w:rsid w:val="007F73A7"/>
    <w:rsid w:val="0080184F"/>
    <w:rsid w:val="008027DD"/>
    <w:rsid w:val="00810916"/>
    <w:rsid w:val="00815116"/>
    <w:rsid w:val="00831EFE"/>
    <w:rsid w:val="00837A4E"/>
    <w:rsid w:val="0084586B"/>
    <w:rsid w:val="00847849"/>
    <w:rsid w:val="008719E6"/>
    <w:rsid w:val="00884785"/>
    <w:rsid w:val="008964A4"/>
    <w:rsid w:val="00896FCD"/>
    <w:rsid w:val="008A2A62"/>
    <w:rsid w:val="008B5817"/>
    <w:rsid w:val="008D0780"/>
    <w:rsid w:val="008D5147"/>
    <w:rsid w:val="008D6F75"/>
    <w:rsid w:val="008F0488"/>
    <w:rsid w:val="009243FC"/>
    <w:rsid w:val="009331BC"/>
    <w:rsid w:val="009418E7"/>
    <w:rsid w:val="009531B0"/>
    <w:rsid w:val="00955EAE"/>
    <w:rsid w:val="009567F2"/>
    <w:rsid w:val="00962C33"/>
    <w:rsid w:val="0096367E"/>
    <w:rsid w:val="009661EE"/>
    <w:rsid w:val="00974159"/>
    <w:rsid w:val="0099047D"/>
    <w:rsid w:val="00990607"/>
    <w:rsid w:val="00993AEA"/>
    <w:rsid w:val="00996173"/>
    <w:rsid w:val="009B2418"/>
    <w:rsid w:val="009D4C59"/>
    <w:rsid w:val="009E62BC"/>
    <w:rsid w:val="009F3609"/>
    <w:rsid w:val="009F3712"/>
    <w:rsid w:val="00A01A40"/>
    <w:rsid w:val="00A03ECE"/>
    <w:rsid w:val="00A15732"/>
    <w:rsid w:val="00A26696"/>
    <w:rsid w:val="00A27435"/>
    <w:rsid w:val="00A307D0"/>
    <w:rsid w:val="00A40C41"/>
    <w:rsid w:val="00A432E0"/>
    <w:rsid w:val="00A5770B"/>
    <w:rsid w:val="00A606F5"/>
    <w:rsid w:val="00A72B34"/>
    <w:rsid w:val="00A74921"/>
    <w:rsid w:val="00A77638"/>
    <w:rsid w:val="00A91EAD"/>
    <w:rsid w:val="00AA01E3"/>
    <w:rsid w:val="00AA3975"/>
    <w:rsid w:val="00AB0498"/>
    <w:rsid w:val="00AE1E2E"/>
    <w:rsid w:val="00AE435A"/>
    <w:rsid w:val="00AE51C8"/>
    <w:rsid w:val="00AF3B9C"/>
    <w:rsid w:val="00B10967"/>
    <w:rsid w:val="00B178C0"/>
    <w:rsid w:val="00B255B3"/>
    <w:rsid w:val="00B3054B"/>
    <w:rsid w:val="00B37546"/>
    <w:rsid w:val="00B45996"/>
    <w:rsid w:val="00B47AA0"/>
    <w:rsid w:val="00B502C3"/>
    <w:rsid w:val="00B55286"/>
    <w:rsid w:val="00B67DE4"/>
    <w:rsid w:val="00BC3FB6"/>
    <w:rsid w:val="00BD1498"/>
    <w:rsid w:val="00BD316B"/>
    <w:rsid w:val="00BD4300"/>
    <w:rsid w:val="00BE0719"/>
    <w:rsid w:val="00BE3526"/>
    <w:rsid w:val="00BE5E04"/>
    <w:rsid w:val="00BE7B73"/>
    <w:rsid w:val="00BF2F46"/>
    <w:rsid w:val="00C07931"/>
    <w:rsid w:val="00C170CE"/>
    <w:rsid w:val="00C35CDC"/>
    <w:rsid w:val="00C41347"/>
    <w:rsid w:val="00C415F7"/>
    <w:rsid w:val="00C4305B"/>
    <w:rsid w:val="00C4794B"/>
    <w:rsid w:val="00C56D89"/>
    <w:rsid w:val="00C91CC7"/>
    <w:rsid w:val="00C947D3"/>
    <w:rsid w:val="00C94FE5"/>
    <w:rsid w:val="00C95E8B"/>
    <w:rsid w:val="00C97714"/>
    <w:rsid w:val="00CA633C"/>
    <w:rsid w:val="00CC0BE7"/>
    <w:rsid w:val="00CC39C2"/>
    <w:rsid w:val="00CD7EA3"/>
    <w:rsid w:val="00CE6487"/>
    <w:rsid w:val="00CF55D3"/>
    <w:rsid w:val="00CF7285"/>
    <w:rsid w:val="00D03921"/>
    <w:rsid w:val="00D06323"/>
    <w:rsid w:val="00D06571"/>
    <w:rsid w:val="00D13585"/>
    <w:rsid w:val="00D277C2"/>
    <w:rsid w:val="00D43C50"/>
    <w:rsid w:val="00D47625"/>
    <w:rsid w:val="00D500E1"/>
    <w:rsid w:val="00D529A3"/>
    <w:rsid w:val="00D52E7E"/>
    <w:rsid w:val="00D539E5"/>
    <w:rsid w:val="00D62579"/>
    <w:rsid w:val="00D73172"/>
    <w:rsid w:val="00D94769"/>
    <w:rsid w:val="00DA238D"/>
    <w:rsid w:val="00DB274D"/>
    <w:rsid w:val="00DB5735"/>
    <w:rsid w:val="00DD1576"/>
    <w:rsid w:val="00DD21C3"/>
    <w:rsid w:val="00DD48A1"/>
    <w:rsid w:val="00E010BA"/>
    <w:rsid w:val="00E01F45"/>
    <w:rsid w:val="00E07C92"/>
    <w:rsid w:val="00E10E6C"/>
    <w:rsid w:val="00E251C4"/>
    <w:rsid w:val="00E307FF"/>
    <w:rsid w:val="00E501F4"/>
    <w:rsid w:val="00E521EE"/>
    <w:rsid w:val="00E522FF"/>
    <w:rsid w:val="00E7710C"/>
    <w:rsid w:val="00E80151"/>
    <w:rsid w:val="00EB58AF"/>
    <w:rsid w:val="00EB64A9"/>
    <w:rsid w:val="00ED66EF"/>
    <w:rsid w:val="00EE03B9"/>
    <w:rsid w:val="00EE5384"/>
    <w:rsid w:val="00EF284C"/>
    <w:rsid w:val="00F01592"/>
    <w:rsid w:val="00F01FB8"/>
    <w:rsid w:val="00F341A4"/>
    <w:rsid w:val="00F51B6E"/>
    <w:rsid w:val="00F5356C"/>
    <w:rsid w:val="00F5370A"/>
    <w:rsid w:val="00F54E0C"/>
    <w:rsid w:val="00F54EC7"/>
    <w:rsid w:val="00F7073A"/>
    <w:rsid w:val="00F73111"/>
    <w:rsid w:val="00F8090F"/>
    <w:rsid w:val="00F86362"/>
    <w:rsid w:val="00FA6764"/>
    <w:rsid w:val="00FB16D4"/>
    <w:rsid w:val="00FB33E1"/>
    <w:rsid w:val="00FD00FC"/>
    <w:rsid w:val="00FD2240"/>
    <w:rsid w:val="00FD42B4"/>
    <w:rsid w:val="00FE1506"/>
    <w:rsid w:val="00FF1FA8"/>
    <w:rsid w:val="00FF44DB"/>
    <w:rsid w:val="00FF7F7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07108C"/>
  <w14:defaultImageDpi w14:val="0"/>
  <w15:docId w15:val="{2722D7A1-2622-4465-B8A4-774C72D4E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172"/>
    <w:rPr>
      <w:sz w:val="24"/>
    </w:rPr>
  </w:style>
  <w:style w:type="paragraph" w:styleId="Heading1">
    <w:name w:val="heading 1"/>
    <w:basedOn w:val="Normal"/>
    <w:next w:val="Normal"/>
    <w:link w:val="Heading1Char"/>
    <w:uiPriority w:val="9"/>
    <w:qFormat/>
    <w:rsid w:val="00D73172"/>
    <w:pPr>
      <w:keepNext/>
      <w:outlineLvl w:val="0"/>
    </w:pPr>
    <w:rPr>
      <w:b/>
      <w:i/>
      <w:sz w:val="40"/>
    </w:rPr>
  </w:style>
  <w:style w:type="paragraph" w:styleId="Heading2">
    <w:name w:val="heading 2"/>
    <w:basedOn w:val="Normal"/>
    <w:next w:val="Normal"/>
    <w:link w:val="Heading2Char"/>
    <w:uiPriority w:val="9"/>
    <w:qFormat/>
    <w:rsid w:val="00D73172"/>
    <w:pPr>
      <w:keepNext/>
      <w:outlineLvl w:val="1"/>
    </w:pPr>
    <w:rPr>
      <w:b/>
      <w:sz w:val="32"/>
    </w:rPr>
  </w:style>
  <w:style w:type="paragraph" w:styleId="Heading3">
    <w:name w:val="heading 3"/>
    <w:basedOn w:val="Normal"/>
    <w:next w:val="Normal"/>
    <w:link w:val="Heading3Char"/>
    <w:uiPriority w:val="9"/>
    <w:unhideWhenUsed/>
    <w:qFormat/>
    <w:rsid w:val="00D73172"/>
    <w:pPr>
      <w:keepNext/>
      <w:keepLines/>
      <w:spacing w:before="200"/>
      <w:outlineLvl w:val="2"/>
    </w:pPr>
    <w:rPr>
      <w:rFonts w:ascii="Cambria" w:hAnsi="Cambria"/>
      <w:b/>
      <w:bCs/>
      <w:color w:val="4F81BD"/>
      <w:sz w:val="20"/>
    </w:rPr>
  </w:style>
  <w:style w:type="paragraph" w:styleId="Heading5">
    <w:name w:val="heading 5"/>
    <w:basedOn w:val="Normal"/>
    <w:next w:val="Normal"/>
    <w:link w:val="Heading5Char"/>
    <w:uiPriority w:val="9"/>
    <w:semiHidden/>
    <w:unhideWhenUsed/>
    <w:qFormat/>
    <w:rsid w:val="006F5ACD"/>
    <w:pPr>
      <w:keepNext/>
      <w:keepLines/>
      <w:spacing w:before="40"/>
      <w:outlineLvl w:val="4"/>
    </w:pPr>
    <w:rPr>
      <w:rFonts w:ascii="Cambria" w:hAnsi="Cambria"/>
      <w:color w:val="365F91"/>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73172"/>
    <w:rPr>
      <w:rFonts w:eastAsia="Times New Roman" w:cs="Times New Roman"/>
      <w:b/>
      <w:i/>
      <w:sz w:val="20"/>
    </w:rPr>
  </w:style>
  <w:style w:type="character" w:customStyle="1" w:styleId="Heading2Char">
    <w:name w:val="Heading 2 Char"/>
    <w:basedOn w:val="DefaultParagraphFont"/>
    <w:link w:val="Heading2"/>
    <w:uiPriority w:val="9"/>
    <w:locked/>
    <w:rsid w:val="00D73172"/>
    <w:rPr>
      <w:rFonts w:eastAsia="Times New Roman" w:cs="Times New Roman"/>
      <w:b/>
      <w:sz w:val="20"/>
    </w:rPr>
  </w:style>
  <w:style w:type="character" w:customStyle="1" w:styleId="Heading3Char">
    <w:name w:val="Heading 3 Char"/>
    <w:basedOn w:val="DefaultParagraphFont"/>
    <w:link w:val="Heading3"/>
    <w:uiPriority w:val="9"/>
    <w:locked/>
    <w:rsid w:val="00D73172"/>
    <w:rPr>
      <w:rFonts w:ascii="Cambria" w:hAnsi="Cambria" w:cs="Times New Roman"/>
      <w:b/>
      <w:color w:val="4F81BD"/>
      <w:sz w:val="20"/>
    </w:rPr>
  </w:style>
  <w:style w:type="character" w:customStyle="1" w:styleId="Heading5Char">
    <w:name w:val="Heading 5 Char"/>
    <w:basedOn w:val="DefaultParagraphFont"/>
    <w:link w:val="Heading5"/>
    <w:uiPriority w:val="9"/>
    <w:semiHidden/>
    <w:locked/>
    <w:rsid w:val="006F5ACD"/>
    <w:rPr>
      <w:rFonts w:ascii="Cambria" w:hAnsi="Cambria" w:cs="Times New Roman"/>
      <w:color w:val="365F91"/>
      <w:sz w:val="20"/>
    </w:rPr>
  </w:style>
  <w:style w:type="character" w:styleId="Hyperlink">
    <w:name w:val="Hyperlink"/>
    <w:basedOn w:val="DefaultParagraphFont"/>
    <w:uiPriority w:val="99"/>
    <w:rsid w:val="00D73172"/>
    <w:rPr>
      <w:rFonts w:cs="Times New Roman"/>
      <w:color w:val="0000FF"/>
      <w:u w:val="single"/>
    </w:rPr>
  </w:style>
  <w:style w:type="character" w:customStyle="1" w:styleId="TitleChar">
    <w:name w:val="Title Char"/>
    <w:aliases w:val="5 DAFTAR PUSTAKA Char"/>
    <w:link w:val="Title"/>
    <w:locked/>
    <w:rsid w:val="00D73172"/>
    <w:rPr>
      <w:rFonts w:eastAsia="Times New Roman"/>
      <w:b/>
      <w:sz w:val="20"/>
    </w:rPr>
  </w:style>
  <w:style w:type="character" w:customStyle="1" w:styleId="FooterChar">
    <w:name w:val="Footer Char"/>
    <w:link w:val="Footer"/>
    <w:uiPriority w:val="99"/>
    <w:locked/>
    <w:rsid w:val="00D73172"/>
    <w:rPr>
      <w:rFonts w:eastAsia="Times New Roman"/>
    </w:rPr>
  </w:style>
  <w:style w:type="paragraph" w:styleId="Footer">
    <w:name w:val="footer"/>
    <w:basedOn w:val="Normal"/>
    <w:link w:val="FooterChar"/>
    <w:uiPriority w:val="99"/>
    <w:rsid w:val="00D73172"/>
    <w:pPr>
      <w:tabs>
        <w:tab w:val="center" w:pos="4320"/>
        <w:tab w:val="right" w:pos="8640"/>
      </w:tabs>
    </w:pPr>
    <w:rPr>
      <w:sz w:val="20"/>
    </w:rPr>
  </w:style>
  <w:style w:type="character" w:customStyle="1" w:styleId="FooterChar1">
    <w:name w:val="Footer Char1"/>
    <w:basedOn w:val="DefaultParagraphFont"/>
    <w:uiPriority w:val="99"/>
    <w:semiHidden/>
    <w:rPr>
      <w:sz w:val="24"/>
    </w:rPr>
  </w:style>
  <w:style w:type="character" w:customStyle="1" w:styleId="FooterChar12">
    <w:name w:val="Footer Char12"/>
    <w:basedOn w:val="DefaultParagraphFont"/>
    <w:uiPriority w:val="99"/>
    <w:semiHidden/>
    <w:rPr>
      <w:rFonts w:cs="Times New Roman"/>
      <w:sz w:val="24"/>
    </w:rPr>
  </w:style>
  <w:style w:type="character" w:customStyle="1" w:styleId="FooterChar11">
    <w:name w:val="Footer Char11"/>
    <w:uiPriority w:val="99"/>
    <w:semiHidden/>
    <w:rsid w:val="00D73172"/>
    <w:rPr>
      <w:rFonts w:eastAsia="Times New Roman"/>
      <w:sz w:val="20"/>
    </w:rPr>
  </w:style>
  <w:style w:type="paragraph" w:customStyle="1" w:styleId="PageNumber1">
    <w:name w:val="Page Number1"/>
    <w:basedOn w:val="Normal"/>
    <w:rsid w:val="00D73172"/>
    <w:pPr>
      <w:suppressAutoHyphens/>
      <w:jc w:val="center"/>
    </w:pPr>
    <w:rPr>
      <w:rFonts w:ascii="Times" w:hAnsi="Times"/>
      <w:lang w:eastAsia="ar-SA"/>
    </w:rPr>
  </w:style>
  <w:style w:type="paragraph" w:customStyle="1" w:styleId="ICTSBodyText">
    <w:name w:val="ICTS_BodyText"/>
    <w:basedOn w:val="BodyText"/>
    <w:rsid w:val="00D73172"/>
  </w:style>
  <w:style w:type="paragraph" w:styleId="Title">
    <w:name w:val="Title"/>
    <w:aliases w:val="5 DAFTAR PUSTAKA"/>
    <w:basedOn w:val="Normal"/>
    <w:link w:val="TitleChar"/>
    <w:uiPriority w:val="10"/>
    <w:qFormat/>
    <w:rsid w:val="00D73172"/>
    <w:pPr>
      <w:jc w:val="center"/>
    </w:pPr>
    <w:rPr>
      <w:b/>
      <w:sz w:val="20"/>
    </w:rPr>
  </w:style>
  <w:style w:type="character" w:customStyle="1" w:styleId="TitleChar1">
    <w:name w:val="Title Char1"/>
    <w:aliases w:val="5 DAFTAR PUSTAKA Char1"/>
    <w:basedOn w:val="DefaultParagraphFont"/>
    <w:uiPriority w:val="10"/>
    <w:rPr>
      <w:rFonts w:asciiTheme="majorHAnsi" w:eastAsiaTheme="majorEastAsia" w:hAnsiTheme="majorHAnsi" w:cstheme="majorBidi"/>
      <w:b/>
      <w:bCs/>
      <w:kern w:val="28"/>
      <w:sz w:val="32"/>
      <w:szCs w:val="32"/>
    </w:rPr>
  </w:style>
  <w:style w:type="character" w:customStyle="1" w:styleId="TitleChar12">
    <w:name w:val="Title Char12"/>
    <w:aliases w:val="5 DAFTAR PUSTAKA Char11"/>
    <w:basedOn w:val="DefaultParagraphFont"/>
    <w:uiPriority w:val="10"/>
    <w:rPr>
      <w:rFonts w:asciiTheme="majorHAnsi" w:eastAsiaTheme="majorEastAsia" w:hAnsiTheme="majorHAnsi" w:cs="Times New Roman"/>
      <w:b/>
      <w:bCs/>
      <w:kern w:val="28"/>
      <w:sz w:val="32"/>
      <w:szCs w:val="32"/>
    </w:rPr>
  </w:style>
  <w:style w:type="character" w:customStyle="1" w:styleId="TitleChar11">
    <w:name w:val="Title Char11"/>
    <w:uiPriority w:val="10"/>
    <w:rsid w:val="00D73172"/>
    <w:rPr>
      <w:rFonts w:ascii="Cambria" w:hAnsi="Cambria"/>
      <w:color w:val="17365D"/>
      <w:spacing w:val="5"/>
      <w:kern w:val="28"/>
      <w:sz w:val="52"/>
    </w:rPr>
  </w:style>
  <w:style w:type="paragraph" w:styleId="Bibliography">
    <w:name w:val="Bibliography"/>
    <w:basedOn w:val="Normal"/>
    <w:next w:val="Normal"/>
    <w:uiPriority w:val="37"/>
    <w:unhideWhenUsed/>
    <w:rsid w:val="00D73172"/>
    <w:pPr>
      <w:spacing w:after="200" w:line="276" w:lineRule="auto"/>
    </w:pPr>
    <w:rPr>
      <w:rFonts w:ascii="Calibri" w:hAnsi="Calibri"/>
      <w:sz w:val="22"/>
      <w:szCs w:val="22"/>
    </w:rPr>
  </w:style>
  <w:style w:type="table" w:styleId="TableGrid">
    <w:name w:val="Table Grid"/>
    <w:basedOn w:val="TableNormal"/>
    <w:uiPriority w:val="39"/>
    <w:rsid w:val="00D7317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D73172"/>
    <w:pPr>
      <w:spacing w:after="120"/>
      <w:ind w:left="360"/>
    </w:pPr>
    <w:rPr>
      <w:sz w:val="20"/>
    </w:rPr>
  </w:style>
  <w:style w:type="character" w:customStyle="1" w:styleId="BodyTextIndentChar">
    <w:name w:val="Body Text Indent Char"/>
    <w:basedOn w:val="DefaultParagraphFont"/>
    <w:link w:val="BodyTextIndent"/>
    <w:uiPriority w:val="99"/>
    <w:locked/>
    <w:rsid w:val="00D73172"/>
    <w:rPr>
      <w:rFonts w:eastAsia="Times New Roman" w:cs="Times New Roman"/>
      <w:sz w:val="20"/>
    </w:rPr>
  </w:style>
  <w:style w:type="paragraph" w:styleId="BodyText">
    <w:name w:val="Body Text"/>
    <w:basedOn w:val="Normal"/>
    <w:link w:val="BodyTextChar"/>
    <w:uiPriority w:val="99"/>
    <w:unhideWhenUsed/>
    <w:rsid w:val="00D73172"/>
    <w:pPr>
      <w:spacing w:after="120"/>
    </w:pPr>
    <w:rPr>
      <w:sz w:val="20"/>
    </w:rPr>
  </w:style>
  <w:style w:type="character" w:customStyle="1" w:styleId="BodyTextChar">
    <w:name w:val="Body Text Char"/>
    <w:basedOn w:val="DefaultParagraphFont"/>
    <w:link w:val="BodyText"/>
    <w:uiPriority w:val="99"/>
    <w:locked/>
    <w:rsid w:val="00D73172"/>
    <w:rPr>
      <w:rFonts w:eastAsia="Times New Roman" w:cs="Times New Roman"/>
      <w:sz w:val="20"/>
    </w:rPr>
  </w:style>
  <w:style w:type="paragraph" w:styleId="ListParagraph">
    <w:name w:val="List Paragraph"/>
    <w:basedOn w:val="Normal"/>
    <w:uiPriority w:val="34"/>
    <w:qFormat/>
    <w:rsid w:val="00D73172"/>
    <w:pPr>
      <w:ind w:left="720"/>
      <w:contextualSpacing/>
    </w:pPr>
  </w:style>
  <w:style w:type="character" w:styleId="Emphasis">
    <w:name w:val="Emphasis"/>
    <w:basedOn w:val="DefaultParagraphFont"/>
    <w:uiPriority w:val="20"/>
    <w:qFormat/>
    <w:rsid w:val="00D73172"/>
    <w:rPr>
      <w:rFonts w:cs="Times New Roman"/>
      <w:i/>
    </w:rPr>
  </w:style>
  <w:style w:type="character" w:styleId="HTMLCite">
    <w:name w:val="HTML Cite"/>
    <w:basedOn w:val="DefaultParagraphFont"/>
    <w:uiPriority w:val="99"/>
    <w:semiHidden/>
    <w:unhideWhenUsed/>
    <w:rsid w:val="007432C2"/>
    <w:rPr>
      <w:rFonts w:cs="Times New Roman"/>
      <w:i/>
    </w:rPr>
  </w:style>
  <w:style w:type="paragraph" w:styleId="Header">
    <w:name w:val="header"/>
    <w:basedOn w:val="Normal"/>
    <w:link w:val="HeaderChar"/>
    <w:uiPriority w:val="99"/>
    <w:unhideWhenUsed/>
    <w:rsid w:val="007A0CBD"/>
    <w:pPr>
      <w:tabs>
        <w:tab w:val="center" w:pos="4680"/>
        <w:tab w:val="right" w:pos="9360"/>
      </w:tabs>
    </w:pPr>
    <w:rPr>
      <w:sz w:val="20"/>
    </w:rPr>
  </w:style>
  <w:style w:type="character" w:customStyle="1" w:styleId="HeaderChar">
    <w:name w:val="Header Char"/>
    <w:basedOn w:val="DefaultParagraphFont"/>
    <w:link w:val="Header"/>
    <w:uiPriority w:val="99"/>
    <w:locked/>
    <w:rsid w:val="007A0CBD"/>
    <w:rPr>
      <w:rFonts w:eastAsia="Times New Roman" w:cs="Times New Roman"/>
      <w:sz w:val="20"/>
    </w:rPr>
  </w:style>
  <w:style w:type="paragraph" w:customStyle="1" w:styleId="BasicParagraph">
    <w:name w:val="[Basic Paragraph]"/>
    <w:basedOn w:val="Normal"/>
    <w:uiPriority w:val="99"/>
    <w:rsid w:val="00633A61"/>
    <w:pPr>
      <w:autoSpaceDE w:val="0"/>
      <w:autoSpaceDN w:val="0"/>
      <w:adjustRightInd w:val="0"/>
      <w:spacing w:line="288" w:lineRule="auto"/>
      <w:textAlignment w:val="center"/>
    </w:pPr>
    <w:rPr>
      <w:rFonts w:ascii="Calisto MT" w:hAnsi="Calisto MT" w:cs="Calisto MT"/>
      <w:color w:val="000000"/>
      <w:sz w:val="20"/>
      <w:lang w:val="en-GB"/>
    </w:rPr>
  </w:style>
  <w:style w:type="paragraph" w:customStyle="1" w:styleId="AbstakIndo">
    <w:name w:val="Abstak Indo"/>
    <w:basedOn w:val="Normal"/>
    <w:uiPriority w:val="99"/>
    <w:qFormat/>
    <w:rsid w:val="00633A61"/>
    <w:pPr>
      <w:autoSpaceDE w:val="0"/>
      <w:autoSpaceDN w:val="0"/>
      <w:adjustRightInd w:val="0"/>
      <w:spacing w:line="288" w:lineRule="auto"/>
      <w:jc w:val="both"/>
      <w:textAlignment w:val="center"/>
    </w:pPr>
    <w:rPr>
      <w:rFonts w:ascii="Minion Pro" w:hAnsi="Minion Pro" w:cs="Minion Pro"/>
      <w:color w:val="000000"/>
      <w:sz w:val="20"/>
      <w:lang w:val="en-GB"/>
    </w:rPr>
  </w:style>
  <w:style w:type="paragraph" w:customStyle="1" w:styleId="ISI">
    <w:name w:val="ISI"/>
    <w:basedOn w:val="Normal"/>
    <w:uiPriority w:val="99"/>
    <w:rsid w:val="006F5ACD"/>
    <w:pPr>
      <w:autoSpaceDE w:val="0"/>
      <w:autoSpaceDN w:val="0"/>
      <w:adjustRightInd w:val="0"/>
      <w:spacing w:line="288" w:lineRule="auto"/>
      <w:ind w:firstLine="547"/>
      <w:jc w:val="both"/>
      <w:textAlignment w:val="center"/>
    </w:pPr>
    <w:rPr>
      <w:rFonts w:ascii="Calisto MT" w:hAnsi="Calisto MT" w:cs="Calisto MT"/>
      <w:color w:val="000000"/>
      <w:sz w:val="22"/>
      <w:szCs w:val="22"/>
      <w:lang w:val="fi-FI"/>
    </w:rPr>
  </w:style>
  <w:style w:type="paragraph" w:styleId="DocumentMap">
    <w:name w:val="Document Map"/>
    <w:basedOn w:val="Normal"/>
    <w:link w:val="DocumentMapChar"/>
    <w:uiPriority w:val="99"/>
    <w:semiHidden/>
    <w:unhideWhenUsed/>
    <w:rsid w:val="00274420"/>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274420"/>
    <w:rPr>
      <w:rFonts w:ascii="Tahoma" w:hAnsi="Tahoma" w:cs="Times New Roman"/>
      <w:sz w:val="16"/>
      <w:lang w:val="en-US" w:eastAsia="en-US"/>
    </w:rPr>
  </w:style>
  <w:style w:type="paragraph" w:customStyle="1" w:styleId="Articlehistory">
    <w:name w:val="Articlehistory"/>
    <w:rsid w:val="004E37EB"/>
    <w:pPr>
      <w:spacing w:line="200" w:lineRule="exact"/>
    </w:pPr>
    <w:rPr>
      <w:rFonts w:ascii="Ebrima" w:hAnsi="Ebrima"/>
      <w:sz w:val="14"/>
    </w:rPr>
  </w:style>
  <w:style w:type="paragraph" w:customStyle="1" w:styleId="ArticlehistoryHead">
    <w:name w:val="ArticlehistoryHead"/>
    <w:basedOn w:val="Articlehistory"/>
    <w:qFormat/>
    <w:rsid w:val="004E37EB"/>
    <w:pPr>
      <w:framePr w:hSpace="187" w:wrap="around" w:vAnchor="text" w:hAnchor="text" w:y="1"/>
    </w:pPr>
    <w:rPr>
      <w:b/>
    </w:rPr>
  </w:style>
  <w:style w:type="paragraph" w:customStyle="1" w:styleId="TopicJudul">
    <w:name w:val="Topic/Judul"/>
    <w:basedOn w:val="Normal"/>
    <w:link w:val="TopicJudulChar"/>
    <w:qFormat/>
    <w:rsid w:val="004E0BA7"/>
    <w:pPr>
      <w:spacing w:after="200" w:line="276" w:lineRule="auto"/>
    </w:pPr>
    <w:rPr>
      <w:rFonts w:ascii="Cambria" w:hAnsi="Cambria"/>
      <w:b/>
      <w:bCs/>
      <w:sz w:val="32"/>
      <w:szCs w:val="32"/>
    </w:rPr>
  </w:style>
  <w:style w:type="character" w:customStyle="1" w:styleId="TopicJudulChar">
    <w:name w:val="Topic/Judul Char"/>
    <w:link w:val="TopicJudul"/>
    <w:locked/>
    <w:rsid w:val="004E0BA7"/>
    <w:rPr>
      <w:rFonts w:ascii="Cambria" w:hAnsi="Cambria"/>
      <w:b/>
      <w:sz w:val="32"/>
    </w:rPr>
  </w:style>
  <w:style w:type="paragraph" w:customStyle="1" w:styleId="Judul">
    <w:name w:val="Judul"/>
    <w:basedOn w:val="Normal"/>
    <w:link w:val="JudulChar"/>
    <w:rsid w:val="004E0BA7"/>
    <w:pPr>
      <w:spacing w:line="276" w:lineRule="auto"/>
      <w:jc w:val="center"/>
    </w:pPr>
    <w:rPr>
      <w:b/>
      <w:bCs/>
      <w:sz w:val="32"/>
      <w:szCs w:val="48"/>
    </w:rPr>
  </w:style>
  <w:style w:type="character" w:customStyle="1" w:styleId="JudulChar">
    <w:name w:val="Judul Char"/>
    <w:link w:val="Judul"/>
    <w:locked/>
    <w:rsid w:val="004E0BA7"/>
    <w:rPr>
      <w:b/>
      <w:sz w:val="48"/>
    </w:rPr>
  </w:style>
  <w:style w:type="paragraph" w:customStyle="1" w:styleId="AbstractAbstrak">
    <w:name w:val="Abstract/Abstrak"/>
    <w:link w:val="AbstractAbstrakChar"/>
    <w:qFormat/>
    <w:rsid w:val="004E0BA7"/>
    <w:pPr>
      <w:spacing w:after="200" w:line="259" w:lineRule="auto"/>
    </w:pPr>
    <w:rPr>
      <w:rFonts w:ascii="Cambria" w:hAnsi="Cambria"/>
      <w:b/>
      <w:bCs/>
      <w:sz w:val="22"/>
      <w:szCs w:val="22"/>
    </w:rPr>
  </w:style>
  <w:style w:type="character" w:customStyle="1" w:styleId="AbstractAbstrakChar">
    <w:name w:val="Abstract/Abstrak Char"/>
    <w:link w:val="AbstractAbstrak"/>
    <w:locked/>
    <w:rsid w:val="004E0BA7"/>
    <w:rPr>
      <w:rFonts w:ascii="Cambria" w:hAnsi="Cambria"/>
      <w:b/>
      <w:sz w:val="22"/>
    </w:rPr>
  </w:style>
  <w:style w:type="paragraph" w:customStyle="1" w:styleId="SubTopicSubJudul">
    <w:name w:val="SubTopic/SubJudul"/>
    <w:basedOn w:val="Judul"/>
    <w:link w:val="SubTopicSubJudulChar"/>
    <w:qFormat/>
    <w:rsid w:val="004E0BA7"/>
    <w:pPr>
      <w:spacing w:before="200"/>
      <w:jc w:val="both"/>
    </w:pPr>
    <w:rPr>
      <w:rFonts w:ascii="Cambria" w:hAnsi="Cambria"/>
      <w:sz w:val="22"/>
      <w:szCs w:val="22"/>
    </w:rPr>
  </w:style>
  <w:style w:type="paragraph" w:customStyle="1" w:styleId="BodyTextBadanTeks">
    <w:name w:val="Body Text/Badan Teks"/>
    <w:basedOn w:val="ListParagraph"/>
    <w:link w:val="BodyTextBadanTeksChar"/>
    <w:qFormat/>
    <w:rsid w:val="004E0BA7"/>
    <w:pPr>
      <w:spacing w:after="200" w:line="276" w:lineRule="auto"/>
      <w:ind w:left="0"/>
      <w:jc w:val="both"/>
    </w:pPr>
    <w:rPr>
      <w:rFonts w:ascii="Cambria" w:hAnsi="Cambria"/>
      <w:sz w:val="22"/>
      <w:szCs w:val="22"/>
      <w:lang w:bidi="bn-IN"/>
    </w:rPr>
  </w:style>
  <w:style w:type="character" w:customStyle="1" w:styleId="SubTopicSubJudulChar">
    <w:name w:val="SubTopic/SubJudul Char"/>
    <w:link w:val="SubTopicSubJudul"/>
    <w:locked/>
    <w:rsid w:val="004E0BA7"/>
    <w:rPr>
      <w:rFonts w:ascii="Cambria" w:hAnsi="Cambria"/>
      <w:b/>
      <w:sz w:val="22"/>
    </w:rPr>
  </w:style>
  <w:style w:type="character" w:customStyle="1" w:styleId="BodyTextBadanTeksChar">
    <w:name w:val="Body Text/Badan Teks Char"/>
    <w:link w:val="BodyTextBadanTeks"/>
    <w:locked/>
    <w:rsid w:val="004E0BA7"/>
    <w:rPr>
      <w:rFonts w:ascii="Cambria" w:eastAsia="Times New Roman" w:hAnsi="Cambria"/>
      <w:sz w:val="22"/>
    </w:rPr>
  </w:style>
  <w:style w:type="paragraph" w:customStyle="1" w:styleId="SubHead">
    <w:name w:val="SubHead"/>
    <w:basedOn w:val="Judul"/>
    <w:link w:val="SubHeadChar"/>
    <w:qFormat/>
    <w:rsid w:val="004E0BA7"/>
    <w:pPr>
      <w:jc w:val="both"/>
    </w:pPr>
    <w:rPr>
      <w:rFonts w:ascii="Cambria" w:hAnsi="Cambria"/>
      <w:b w:val="0"/>
      <w:bCs w:val="0"/>
      <w:sz w:val="22"/>
      <w:szCs w:val="22"/>
      <w:u w:val="single"/>
    </w:rPr>
  </w:style>
  <w:style w:type="character" w:customStyle="1" w:styleId="SubHeadChar">
    <w:name w:val="SubHead Char"/>
    <w:link w:val="SubHead"/>
    <w:locked/>
    <w:rsid w:val="004E0BA7"/>
    <w:rPr>
      <w:rFonts w:ascii="Cambria" w:hAnsi="Cambria"/>
      <w:sz w:val="22"/>
      <w:u w:val="single"/>
    </w:rPr>
  </w:style>
  <w:style w:type="paragraph" w:customStyle="1" w:styleId="Sub-SubHead">
    <w:name w:val="Sub-SubHead"/>
    <w:basedOn w:val="Judul"/>
    <w:link w:val="Sub-SubHeadChar"/>
    <w:qFormat/>
    <w:rsid w:val="004E0BA7"/>
    <w:pPr>
      <w:jc w:val="both"/>
    </w:pPr>
    <w:rPr>
      <w:rFonts w:ascii="Cambria" w:hAnsi="Cambria"/>
      <w:b w:val="0"/>
      <w:bCs w:val="0"/>
      <w:i/>
      <w:iCs/>
      <w:sz w:val="22"/>
      <w:szCs w:val="22"/>
    </w:rPr>
  </w:style>
  <w:style w:type="character" w:customStyle="1" w:styleId="Sub-SubHeadChar">
    <w:name w:val="Sub-SubHead Char"/>
    <w:link w:val="Sub-SubHead"/>
    <w:locked/>
    <w:rsid w:val="004E0BA7"/>
    <w:rPr>
      <w:rFonts w:ascii="Cambria" w:hAnsi="Cambria"/>
      <w:i/>
      <w:sz w:val="22"/>
    </w:rPr>
  </w:style>
  <w:style w:type="paragraph" w:customStyle="1" w:styleId="Default">
    <w:name w:val="Default"/>
    <w:rsid w:val="00053E8D"/>
    <w:pPr>
      <w:autoSpaceDE w:val="0"/>
      <w:autoSpaceDN w:val="0"/>
      <w:adjustRightInd w:val="0"/>
    </w:pPr>
    <w:rPr>
      <w:rFonts w:ascii="Arial" w:hAnsi="Arial" w:cs="Arial"/>
      <w:color w:val="000000"/>
      <w:sz w:val="24"/>
      <w:szCs w:val="24"/>
    </w:rPr>
  </w:style>
  <w:style w:type="paragraph" w:customStyle="1" w:styleId="Pa3">
    <w:name w:val="Pa3"/>
    <w:basedOn w:val="Default"/>
    <w:next w:val="Default"/>
    <w:uiPriority w:val="99"/>
    <w:rsid w:val="00053E8D"/>
    <w:pPr>
      <w:spacing w:line="241" w:lineRule="atLeast"/>
    </w:pPr>
    <w:rPr>
      <w:color w:val="auto"/>
    </w:rPr>
  </w:style>
  <w:style w:type="character" w:customStyle="1" w:styleId="A3">
    <w:name w:val="A3"/>
    <w:uiPriority w:val="99"/>
    <w:rsid w:val="00053E8D"/>
    <w:rPr>
      <w:color w:val="221E1F"/>
      <w:sz w:val="17"/>
    </w:rPr>
  </w:style>
  <w:style w:type="paragraph" w:customStyle="1" w:styleId="TableParagraph">
    <w:name w:val="Table Paragraph"/>
    <w:basedOn w:val="Normal"/>
    <w:uiPriority w:val="1"/>
    <w:qFormat/>
    <w:rsid w:val="002070E9"/>
    <w:pPr>
      <w:widowControl w:val="0"/>
      <w:autoSpaceDE w:val="0"/>
      <w:autoSpaceDN w:val="0"/>
      <w:spacing w:before="16" w:line="179" w:lineRule="exact"/>
      <w:jc w:val="right"/>
    </w:pPr>
    <w:rPr>
      <w:rFonts w:ascii="Arial MT" w:eastAsia="Arial MT" w:hAnsi="Arial MT" w:cs="Arial MT"/>
      <w:sz w:val="22"/>
      <w:szCs w:val="22"/>
    </w:rPr>
  </w:style>
  <w:style w:type="table" w:customStyle="1" w:styleId="a">
    <w:name w:val="a"/>
    <w:basedOn w:val="TableNormal"/>
    <w:rsid w:val="00416BB7"/>
    <w:pPr>
      <w:widowControl w:val="0"/>
    </w:pPr>
    <w:rPr>
      <w:sz w:val="22"/>
      <w:szCs w:val="22"/>
      <w:lang w:val="en" w:eastAsia="en-ID"/>
    </w:rPr>
    <w:tblPr>
      <w:tblStyleRowBandSize w:val="1"/>
      <w:tblStyleColBandSize w:val="1"/>
      <w:tblCellMar>
        <w:left w:w="0" w:type="dxa"/>
        <w:right w:w="0" w:type="dxa"/>
      </w:tblCellMar>
    </w:tblPr>
  </w:style>
  <w:style w:type="table" w:customStyle="1" w:styleId="a0">
    <w:name w:val="a0"/>
    <w:basedOn w:val="TableNormal"/>
    <w:rsid w:val="00416BB7"/>
    <w:pPr>
      <w:widowControl w:val="0"/>
    </w:pPr>
    <w:rPr>
      <w:sz w:val="22"/>
      <w:szCs w:val="22"/>
      <w:lang w:val="en" w:eastAsia="en-ID"/>
    </w:rPr>
    <w:tblPr>
      <w:tblStyleRowBandSize w:val="1"/>
      <w:tblStyleColBandSize w:val="1"/>
      <w:tblCellMar>
        <w:left w:w="0" w:type="dxa"/>
        <w:right w:w="0" w:type="dxa"/>
      </w:tblCellMar>
    </w:tblPr>
  </w:style>
  <w:style w:type="table" w:customStyle="1" w:styleId="a1">
    <w:name w:val="a1"/>
    <w:basedOn w:val="TableNormal"/>
    <w:rsid w:val="00416BB7"/>
    <w:pPr>
      <w:widowControl w:val="0"/>
    </w:pPr>
    <w:rPr>
      <w:sz w:val="22"/>
      <w:szCs w:val="22"/>
      <w:lang w:val="en" w:eastAsia="en-ID"/>
    </w:rPr>
    <w:tblPr>
      <w:tblStyleRowBandSize w:val="1"/>
      <w:tblStyleColBandSize w:val="1"/>
      <w:tblCellMar>
        <w:left w:w="0" w:type="dxa"/>
        <w:right w:w="0" w:type="dxa"/>
      </w:tblCellMar>
    </w:tblPr>
  </w:style>
  <w:style w:type="table" w:customStyle="1" w:styleId="a2">
    <w:name w:val="a2"/>
    <w:basedOn w:val="TableNormal"/>
    <w:rsid w:val="00416BB7"/>
    <w:pPr>
      <w:widowControl w:val="0"/>
    </w:pPr>
    <w:rPr>
      <w:sz w:val="22"/>
      <w:szCs w:val="22"/>
      <w:lang w:val="en" w:eastAsia="en-ID"/>
    </w:rPr>
    <w:tblPr>
      <w:tblStyleRowBandSize w:val="1"/>
      <w:tblStyleColBandSize w:val="1"/>
      <w:tblCellMar>
        <w:left w:w="0" w:type="dxa"/>
        <w:right w:w="0" w:type="dxa"/>
      </w:tblCellMar>
    </w:tblPr>
  </w:style>
  <w:style w:type="table" w:customStyle="1" w:styleId="a30">
    <w:name w:val="a3"/>
    <w:basedOn w:val="TableNormal"/>
    <w:rsid w:val="00416BB7"/>
    <w:pPr>
      <w:widowControl w:val="0"/>
    </w:pPr>
    <w:rPr>
      <w:sz w:val="22"/>
      <w:szCs w:val="22"/>
      <w:lang w:val="en" w:eastAsia="en-ID"/>
    </w:rPr>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EB58AF"/>
    <w:rPr>
      <w:color w:val="605E5C"/>
      <w:shd w:val="clear" w:color="auto" w:fill="E1DFDD"/>
    </w:rPr>
  </w:style>
  <w:style w:type="paragraph" w:styleId="NormalWeb">
    <w:name w:val="Normal (Web)"/>
    <w:basedOn w:val="Normal"/>
    <w:uiPriority w:val="99"/>
    <w:unhideWhenUsed/>
    <w:rsid w:val="00242174"/>
    <w:pPr>
      <w:spacing w:before="100" w:beforeAutospacing="1" w:after="100" w:afterAutospacing="1"/>
    </w:pPr>
    <w:rPr>
      <w:szCs w:val="24"/>
    </w:rPr>
  </w:style>
  <w:style w:type="character" w:customStyle="1" w:styleId="citation-37">
    <w:name w:val="citation-37"/>
    <w:basedOn w:val="DefaultParagraphFont"/>
    <w:rsid w:val="001672F9"/>
  </w:style>
  <w:style w:type="character" w:customStyle="1" w:styleId="citation-36">
    <w:name w:val="citation-36"/>
    <w:basedOn w:val="DefaultParagraphFont"/>
    <w:rsid w:val="001672F9"/>
  </w:style>
  <w:style w:type="character" w:customStyle="1" w:styleId="citation-35">
    <w:name w:val="citation-35"/>
    <w:basedOn w:val="DefaultParagraphFont"/>
    <w:rsid w:val="001672F9"/>
  </w:style>
  <w:style w:type="character" w:customStyle="1" w:styleId="citation-34">
    <w:name w:val="citation-34"/>
    <w:basedOn w:val="DefaultParagraphFont"/>
    <w:rsid w:val="001672F9"/>
  </w:style>
  <w:style w:type="character" w:customStyle="1" w:styleId="citation-33">
    <w:name w:val="citation-33"/>
    <w:basedOn w:val="DefaultParagraphFont"/>
    <w:rsid w:val="001672F9"/>
  </w:style>
  <w:style w:type="character" w:customStyle="1" w:styleId="citation-32">
    <w:name w:val="citation-32"/>
    <w:basedOn w:val="DefaultParagraphFont"/>
    <w:rsid w:val="001672F9"/>
  </w:style>
  <w:style w:type="character" w:customStyle="1" w:styleId="citation-31">
    <w:name w:val="citation-31"/>
    <w:basedOn w:val="DefaultParagraphFont"/>
    <w:rsid w:val="001672F9"/>
  </w:style>
  <w:style w:type="character" w:customStyle="1" w:styleId="citation-30">
    <w:name w:val="citation-30"/>
    <w:basedOn w:val="DefaultParagraphFont"/>
    <w:rsid w:val="001672F9"/>
  </w:style>
  <w:style w:type="table" w:styleId="PlainTable2">
    <w:name w:val="Plain Table 2"/>
    <w:basedOn w:val="TableNormal"/>
    <w:uiPriority w:val="42"/>
    <w:rsid w:val="00896FC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1D5018"/>
    <w:pPr>
      <w:spacing w:after="200"/>
    </w:pPr>
    <w:rPr>
      <w:i/>
      <w:iCs/>
      <w:color w:val="44546A" w:themeColor="text2"/>
      <w:sz w:val="18"/>
      <w:szCs w:val="18"/>
    </w:rPr>
  </w:style>
  <w:style w:type="character" w:customStyle="1" w:styleId="citation-29">
    <w:name w:val="citation-29"/>
    <w:basedOn w:val="DefaultParagraphFont"/>
    <w:rsid w:val="00B10967"/>
  </w:style>
  <w:style w:type="character" w:customStyle="1" w:styleId="citation-28">
    <w:name w:val="citation-28"/>
    <w:basedOn w:val="DefaultParagraphFont"/>
    <w:rsid w:val="00B10967"/>
  </w:style>
  <w:style w:type="character" w:customStyle="1" w:styleId="citation-27">
    <w:name w:val="citation-27"/>
    <w:basedOn w:val="DefaultParagraphFont"/>
    <w:rsid w:val="00B10967"/>
  </w:style>
  <w:style w:type="character" w:customStyle="1" w:styleId="citation-26">
    <w:name w:val="citation-26"/>
    <w:basedOn w:val="DefaultParagraphFont"/>
    <w:rsid w:val="00B10967"/>
  </w:style>
  <w:style w:type="character" w:customStyle="1" w:styleId="citation-25">
    <w:name w:val="citation-25"/>
    <w:basedOn w:val="DefaultParagraphFont"/>
    <w:rsid w:val="00B10967"/>
  </w:style>
  <w:style w:type="character" w:customStyle="1" w:styleId="citation-24">
    <w:name w:val="citation-24"/>
    <w:basedOn w:val="DefaultParagraphFont"/>
    <w:rsid w:val="00B10967"/>
  </w:style>
  <w:style w:type="character" w:customStyle="1" w:styleId="citation-23">
    <w:name w:val="citation-23"/>
    <w:basedOn w:val="DefaultParagraphFont"/>
    <w:rsid w:val="00B10967"/>
  </w:style>
  <w:style w:type="character" w:customStyle="1" w:styleId="citation-22">
    <w:name w:val="citation-22"/>
    <w:basedOn w:val="DefaultParagraphFont"/>
    <w:rsid w:val="00B10967"/>
  </w:style>
  <w:style w:type="character" w:customStyle="1" w:styleId="citation-21">
    <w:name w:val="citation-21"/>
    <w:basedOn w:val="DefaultParagraphFont"/>
    <w:rsid w:val="00B109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852672">
      <w:marLeft w:val="0"/>
      <w:marRight w:val="0"/>
      <w:marTop w:val="0"/>
      <w:marBottom w:val="0"/>
      <w:divBdr>
        <w:top w:val="none" w:sz="0" w:space="0" w:color="auto"/>
        <w:left w:val="none" w:sz="0" w:space="0" w:color="auto"/>
        <w:bottom w:val="none" w:sz="0" w:space="0" w:color="auto"/>
        <w:right w:val="none" w:sz="0" w:space="0" w:color="auto"/>
      </w:divBdr>
    </w:div>
    <w:div w:id="1362852673">
      <w:marLeft w:val="0"/>
      <w:marRight w:val="0"/>
      <w:marTop w:val="0"/>
      <w:marBottom w:val="0"/>
      <w:divBdr>
        <w:top w:val="none" w:sz="0" w:space="0" w:color="auto"/>
        <w:left w:val="none" w:sz="0" w:space="0" w:color="auto"/>
        <w:bottom w:val="none" w:sz="0" w:space="0" w:color="auto"/>
        <w:right w:val="none" w:sz="0" w:space="0" w:color="auto"/>
      </w:divBdr>
    </w:div>
    <w:div w:id="1362852674">
      <w:marLeft w:val="0"/>
      <w:marRight w:val="0"/>
      <w:marTop w:val="0"/>
      <w:marBottom w:val="0"/>
      <w:divBdr>
        <w:top w:val="none" w:sz="0" w:space="0" w:color="auto"/>
        <w:left w:val="none" w:sz="0" w:space="0" w:color="auto"/>
        <w:bottom w:val="none" w:sz="0" w:space="0" w:color="auto"/>
        <w:right w:val="none" w:sz="0" w:space="0" w:color="auto"/>
      </w:divBdr>
    </w:div>
    <w:div w:id="1362852675">
      <w:marLeft w:val="0"/>
      <w:marRight w:val="0"/>
      <w:marTop w:val="0"/>
      <w:marBottom w:val="0"/>
      <w:divBdr>
        <w:top w:val="none" w:sz="0" w:space="0" w:color="auto"/>
        <w:left w:val="none" w:sz="0" w:space="0" w:color="auto"/>
        <w:bottom w:val="none" w:sz="0" w:space="0" w:color="auto"/>
        <w:right w:val="none" w:sz="0" w:space="0" w:color="auto"/>
      </w:divBdr>
    </w:div>
    <w:div w:id="1362852676">
      <w:marLeft w:val="0"/>
      <w:marRight w:val="0"/>
      <w:marTop w:val="0"/>
      <w:marBottom w:val="0"/>
      <w:divBdr>
        <w:top w:val="none" w:sz="0" w:space="0" w:color="auto"/>
        <w:left w:val="none" w:sz="0" w:space="0" w:color="auto"/>
        <w:bottom w:val="none" w:sz="0" w:space="0" w:color="auto"/>
        <w:right w:val="none" w:sz="0" w:space="0" w:color="auto"/>
      </w:divBdr>
    </w:div>
    <w:div w:id="136285267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mailto:dwi.pambudi@pbs.uad.ac.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5225C6-7614-4A77-BD30-3F51D44C1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16</Pages>
  <Words>11765</Words>
  <Characters>67063</Characters>
  <Application>Microsoft Office Word</Application>
  <DocSecurity>0</DocSecurity>
  <Lines>558</Lines>
  <Paragraphs>157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78671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Pribawa E Pantas</dc:creator>
  <cp:keywords/>
  <dc:description/>
  <cp:lastModifiedBy>Mufti Alam Adha</cp:lastModifiedBy>
  <cp:revision>185</cp:revision>
  <cp:lastPrinted>2018-08-01T07:32:00Z</cp:lastPrinted>
  <dcterms:created xsi:type="dcterms:W3CDTF">2022-04-14T03:04:00Z</dcterms:created>
  <dcterms:modified xsi:type="dcterms:W3CDTF">2026-07-03T12:55:00Z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0b1ae6c0-b2f0-37ba-a5f2-38d55dec8477</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1d8f7d25-75cc-45fb-98e7-600896acdbf1</vt:lpwstr>
  </property>
</Properties>
</file>